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P/11952/2011 vom 27. Januar 2014</w:t>
      </w:r>
    </w:p>
    <w:p>
      <w:r>
        <w:t>GE Cour de justice, 2014-01-27, FR</w:t>
      </w:r>
    </w:p>
    <w:p>
      <w:r>
        <w:rPr>
          <w:b/>
        </w:rPr>
        <w:t xml:space="preserve">Quelle: </w:t>
      </w:r>
      <w:r>
        <w:t>https://mcp.opencaselaw.ch/entscheid/ge_gerichte_P_11952_2011</w:t>
      </w:r>
    </w:p>
    <w:p>
      <w:r>
        <w:t>FR: GE_GERICHTE P/11952/2011 du 27 janvier 2014</w:t>
      </w:r>
    </w:p>
    <w:p>
      <w:r>
        <w:t>IT: GE_GERICHTE P/11952/2011 del 27 gennaio 2014</w:t>
      </w:r>
    </w:p>
    <w:p>
      <w:pPr>
        <w:pStyle w:val="Heading2"/>
      </w:pPr>
      <w:r>
        <w:t>Regeste</w:t>
      </w:r>
    </w:p>
    <w:p>
      <w:r>
        <w:t>ESCROQUERIE; FIXATION DE LA PEINE; LIBÉRATION CONDITIONNELLE; RÉVOCATION(EN GÉNÉRAL) | CP.146.1; CP.47; CP.89.6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 cf . ATF 119 IV 210 consid. 3 p. 212).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Pour qu'il y ait escroquerie, une simple tromperie ne suffit cependant pas ; il faut qu'elle soit astucieuse. Il y a astuce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admise lorsque l'auteur exploite un rapport de confiance préexistant propre à dissuader la dupe d'effectuer certaines vérifications (ATF 126 IV 165 consid. 2a p. 171 ; 125 IV 124 consid. 3a p. 127 s. et les arrêts cités).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p. 20 s.). 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 (arrêt du Tribunal fédéral 6B_530/2008 du 8 janvier 2009 consid 3.3 avec référence aux ATF 122 IV 279 consid. 2a p. 281 et 121 IV 104 consid. 2c p. 107 s). Lorsque la dupe porte préjudice non pas à ses propres intérêts mais à ceux d'un tiers, la réalisation de l'escroquerie nécessite que la dupe soit responsable du patrimoine visé et au moins qu'elle puisse en disposer effectivement (ATF 133 IV 171 consid. 4.3 p. 175).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 2.3.1 Les dénégations de l'appelant sont difficilement compréhensibles, tant un faisceau d'indices l'accable quant à sa culpabilité dans le dossier D______. La partie plaignante le met indirectement en cause, en tant qu'elle a d'emblée de jeu décrit la présence d'un tiers aux côtés de son interlocuteur principal. Certes, l'appelant n'a pas été formellement reconnu à sa voix. S'il devait s'agir du seul indice, il ne serait assurément pas suffisant pour asseoir sa culpabilité. Mais le rôle en retrait de l'associé "colle" à la personne de l'appelant qui n'avait pas la possibilité, eu égard à un ancien contentieux, d'apparaître au grand jour, comme l'a d'ailleurs expliqué l'intimé. L'activité de l'appelant ressort de la téléphonie, qui révèle de nombreux contacts avec l'intimé, notamment le 20 février 2012, date à laquelle l'appelant a lui-même admis avoir été présent aux côtés de son ami à la rue du Rhône. Sa présence est corroborée par les dires de l'intimé qui a décrit le rôle de l'appelant comme étant celui auquel le sac contenant les liasses de billets a été remis aussitôt après la transaction. Les déclarations de l'intimé sont accablantes pour l'appelant qui est décrit comme celui qui a imaginé le "coup" dont a été victime la partie plaignante. Une telle mise en cause pourrait être fondée sur une volonté de faire reporter la responsabilité principale de l'infraction sur un tiers aux fins de diminuer la sienne en contrepartie. Plusieurs éléments permettent d'écarter cette hypothèse : -          d'une manière générale tout d'abord, les déclarations de l'intimé peuvent être tenues pour fiables et constantes, hormis ses dénégations initiales qu'il a rapidement abandonnées. Plusieurs précisions qu'il a apportées ont été validées par l'appelant. Ainsi en est-il du stratagème de surenchère pour le prix de vente ou de l'existence d'un contentieux antérieur dans le domaine du logement, même si le récit qu'en a fait l'appelant à son ami reste loin de la version servie par la victime ;![endif]&gt;![if&gt; -          la présence de l'ADN de l'appelant sur les élastiques des faux billets constitue un indice à charge accablant, que les explications lénifiantes de l'appelant ne sont pas de nature à affaiblir ;![endif]&gt;![if&gt; -          l'escroquerie du type "rip deal" n'est pas étrangère à l'appelant, si on se fie aux actes d'instruction dans le canton de Vaud. De la même manière, la présence de faux billets de CHF 1'000.- est aussi évoquée dans le dossier F______ pour lequel l'appelant a fini par admettre sa culpabilité ;![endif]&gt;![if&gt; -          les écrits de l'appelant à l'intimé, qu'il espérait ne pas être interceptés, viennent conforter d'une manière décisive la présence de l'appelant aux côtés de l'intimé ainsi que son rôle prépondérant dans les contacts avec la victime. Le scénario et les diverses parades pour déjouer les investigations judiciaires y sont décrits avec précision. Les dénégations de l'appelant pour dénier à ces écrits la qualité d'instructions fournies à son comparse en affaires sont dénuées de toute crédibilité, à l'instar de ses explications qui peuvent au mieux être taxées de farfelues.![endif]&gt;![if&gt; Il s'ensuit que la participation de l'appelant à l'escroquerie dont a été victime la partie plaignante D______ doit être tenue pour réalisée. 2.3.2 La qualification d'escroquerie n'a pas sérieusement été mise en doute par l'appelant. Il y a toutefois lieu d'y revenir brièvement, ne serait-ce que pour confirmer la réalisation des éléments constitutifs de cette infraction. La tromperie est un fait acquis. Pour preuves les déclarations sur la stratégie à suivre et les instructions destinées à convaincre son comparse des réponses à fournir pour donner à la victime un profil d'auteur. Il y a eu enrichissement illégitime, avec la perte de EUR 50'000.-, cet argent étant revenu à l'appelant qui l'a reçu des mains de l'intimé. Enfin, il est acquis que les auteurs de l'escroquerie n'avaient ab initio aucun moyen ni volonté d'acquérir le fonds de commerce, les négociations menées n'étant que purs prétextes pour aboutir à leurs fins. La condition de l'astuce est plus délicate, tant les apparences pourraient laisser penser à une faute concomitante de la dupe. Le comportement de la partie plaignante peut effectivement être qualifié de surprenant de prime abord. Ainsi en est-il de sa reprise de contact après une première transaction avortée, bien qu'il ne faille pas surestimer la portée de cet événement en raison du motif invoqué par la victime. Celle-ci a refusé de poursuivre la transaction non pas pour avoir remarqué la présence de faux billets, mais bien en raison de l'impossibilité qui lui a été imposée de pouvoir faire un décompte de l'argent à l'abri des regards. Il convient de ne pas perdre de vue que cette opération s'est inscrite dans la durée, soit durant cinq semaines pendant lesquelles la victime s'est "accrochée" à la planche de salut que constituait l'opportunité de vendre son commerce à un bon prix. Ce n'est d'ailleurs qu'après un désistement que la dupe a repris contact, ce qui démontre bien sa volonté de vouloir arriver à ses fins après des négociations où elle n'avait pas été ménagée. Un élément personnel a aussi joué un rôle important. La victime s'est retrouvée en situation de vulnérabilité en raison de la grave maladie de son fils qui lui imposait de conclure rapidement, aux fins d'être plus présente à ses côtés. Les auteurs ont d'ailleurs profité de son impatience, en la mettant à profit pour proposer une transaction couplée avec une opération de change, ce qui leur permettait de réaliser un "rip deal" classique. Il convient aussi de ne pas oublier que l'appelant et l'intimé se sont relayés auprès de la victime pour la convaincre de céder, d'abord par de très nombreuses visites sur place puis par des contacts téléphoniques. La présence d'un associé chargé du financement de l'opération était aussi de nature à conforter la victime dans la tromperie. Au regard des éléments qui précèdent, l'absence de questionnement de la part de la victime ne saurait à elle seule représenter un obstacle à la réalisation de la tromperie astucieuse, qui sera admise en l'espèce comme l'a implicitement reconnu l'appelant. Aussi le jugement du Tribunal correctionnel sera-t-il confirmé s'agissant de la culpabilité de l'appelant dans le dossier D______.</w:t>
      </w:r>
    </w:p>
    <w:p>
      <w:r>
        <w:rPr>
          <w:b/>
        </w:rPr>
        <w:t>E. 3</w:t>
      </w:r>
    </w:p>
    <w:p>
      <w:r>
        <w:t>3.1 Les critères énumérés, de manière non exhaustive, par l'art. 47 CCP correspondent à ceux fixés par l'art. 63 aCP et la jurisprudence élaborée en application de cette ancienne disposition conserve toute sa valeur, de sorte que l'on peut continuer à s'y référer (arrêt du Tribunal fédéral 6B_992/2008 du 5 mars 2009 consid. 5.1).47.18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3.2.1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3.2.2 Dans l'exercice de son pouvoir d'appréciation, le juge doit respecter, en particulier, le principe d'égalité de traitement (art. 8 al. 1 Cst. féd. ; cf .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"égalité de traitement dans l'illégalité" (ATF 135 IV 191 consid. 3.3 p. 194).</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3.4.1 L'art. 86 al. 1 CP énumère les conditions auxquelles la libération conditionnelle peut être accordée à un détenu. S'il est libéré conditionnellement, il lui est imparti un délai d'épreuve égale à la durée à la durée du solde de sa peine (art. 87 al. 1 CP). L'art . 89 CP règle le sort du détenu libéré conditionnellement qui récidive durant le délai d'épreuve. Le juge qui connait de la nouvelle infraction ordonne sa réintégration dans l'établissement ou y renonce, cas échéant en prolongeant le délai d'épreuve (art. 89 al. 1 et 2 CP). Selon le Message concernant la modification du Code pénal suisse (dispositions générales, entrée en vigueur et application du Code pénal) […] du 21 septembre 1998 ; FF 1999 1787), l'échec de la mise à l'épreuve au sens de l'article 89 al. 2 CP suppose la commission d'un crime ou d'un délit, laissant présager que le détenu libéré conditionnellement ne s'en tiendrait pas là. Un tribunal devait décider de la réintégration en procédant à une "projection comportementale dans l'avenir", excluant une "infraction accidentelle" comme indice d'échec (FF 1999 1929). Pris à la lettre, l'art. 89 al. 1 CP a un caractère impératif. Néanmoins, l'obligation faite au juge de réintégrer le récidiviste est grandement édulcorée par l'art. 89 al. 2 CP qui prévoit que lorsqu'il n'y a pas lieu de craindre que le condamné ne commette de nouvelles infractions dans le futur, le juge renonce (" Mussvorschrift" ) à la réintégration (R. ROTH / L. MOREILLON (éds), op. cit., n. 7 ad art. 89). Autrement dit, le juge doit renoncer à la réintégration lorsque la récidive ne constitue pas un indice d'échec et ne justifie pas de modifier le pronostic favorable posé lors de la libération conditionnelle (M. DUPUIS / B. GELLER / G. MONNIER / L. MOREILLON / C. PIGUET / C. BETTEX / D. STOLL (éds), Code pénal - Petit commentaire , Bâle 2012, n. 8 ad art. 89).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 2 e éd., Berne 2006, § 5 n. 95 p. 164). Dans le même sens. M. NIGGLI / H. WIPRÄCHTIGER ( op. cit., n. 3 ad art. 89)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6B_303/2007 du 6 décembre 2007 consid. 6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6B_663/2009 du 19 octobre 2009 consid. 1.2 et 6B_303/2007 du 6 décembre 2007 consid. 6). 3.4.2 Si, en raison de la nouvelle infraction, les conditions d'une peine privative de liberté fermes sont réunies et que celle-ci entre en concours avec le solde de la peine devenue exécutoire à la suite de la révocation, le juge prononce, en vertu de l'art. 49 CP, une peine d'ensemble (art. 89 al. 6 CP). Il ne doit pas se contenter de cumuler les deux peines (M. DUPUIS / B. GELLER / G. MONNIER / L. MOREILLON / C. PIGUET / C. BETTEX / D. STOLL (éds), op. cit., n. 13 ad art. 89). La décision du juge constitue une " Mussvorschrift" à l'instar de celle qui prévaut à l'art. 89 al. 2 CP (R. ROTH / L. MOREILLON (éds), op. cit., n. 16 ad art. 89).</w:t>
      </w:r>
    </w:p>
    <w:p>
      <w:r>
        <w:rPr>
          <w:b/>
        </w:rPr>
        <w:t>E. 3.5</w:t>
      </w:r>
    </w:p>
    <w:p>
      <w:r>
        <w:t>En 2007, la Cour correctionnelle ( ACC/52/2007 ) s'est exprimée en ces termes s'agissant de son appréciation de la peine à infliger au prévenu, reconnu coupable de plusieurs escroqueries par métier et d'abus de confiance : "l es faits reprochés à [X______] sont graves, en ce sens qu’il a trahi la confiance mise en lui par des personnes qu'il connaissait et d'autres qui lui ont fait confiance, en leur faisant miroiter d'excellentes affaires à réaliser dans l'achat de voitures neuves ou d'occasion. Dans un autre cas, il a profité des usages commerciaux pour se faire livrer des biens matériels sans contrepartie. Ses actes sont d’autant plus déplaisants qu’il savait que plusieurs victimes intéressées à l'achat de voitures étaient sans connaissance particulière du marché automobile. Son activité délictuelle a été intense (…). Durant toutes ces années, [X______] n'a fait que répéter un scénario bien huilé, n'hésitant pas à replonger dans la voie de la délinquance après sa libération conditionnelle de 2000 et sa libération provisoire de 2004" (arrêt de la Cour correctionnelle du 30 novembre 2007, p. 16). Les termes utilisés en 2007 pourraient, à quelques nuances près, être repris dans le présent chapitre consacré à la peine. C'est dire si l'évolution dont se prévaut l'appelant pour solliciter une peine plus clémente n'en est, au mieux, qu'à ses prémisses. Il est frappant de constater que le même scénario se répète de fois en fois, comme il en est de la reprise de contact avec un spécialiste en commerce automobile dont il connaissait la probité douteuse ou du peu de cas dont l'appelant se fait de la confiance accordée pour une libération conditionnelle. En "reprenant du service" dans le commerce de véhicules automobiles avant le terme du délai d'épreuve, l'appelant a non seulement trahi la confiance que le Tribunal d'application des peines et mesures lui avait accordée en 2009 mais il a de surcroît enfreint la mesure qui s'imposait à lui de ne pas exercer d'activité dans le domaine financier dans un délai de cinq ans à compter de 2007. L'appelant a ainsi démontré par son comportement qu'il n'a cure des interdictions qui lui sont imposées dès lors que s'offre à lui l'opportunité de réaliser des gains en profitant de la crédulité d'autrui. Sa faute est grave. L'appelant n'a pas hésité à multiplier les ruses et les mensonges par appât du gain, sans vouloir se rendre compte que ses actes avaient pour effet de spolier des victimes dont le seul tort avait été de lui faire confiance. Il a diversifié ses cibles, en faisant preuve d'une créativité peu commune. Pour deux des infractions, il s'est adjoint les services d'un tiers dont il connaissait le passé judiciaire. Il s'en est servi pour mieux pouvoir rester en arrière-plan, ce que sa connaissance de sa future victime imposait. L'appelant avait l'ascendant sur son comparse en affaires, ainsi que les instructions fournies depuis la prison le démontrent. Sa capacité d'introspection reste limitée, tant il est apparu au cours de l'instruction sur la défensive, reconnaissant certes des faits isolés mais sans une remise en question qui puisse être qualifiée de sérieuse. Ses antécédents sont mauvais et leur poids est d'autant plus important que toutes les condamnations subies depuis 1997 portent sur des délits spécifiques. Il n'est pas possible de fonder sur cette base un pronostic qui ne soit pas défavorable, de sorte que sa réintégration est justifiée. Sa peine est adaptée à la gravité des actes et à l'ensemble des circonstances. La comparaison avec la peine infligée à l'intimé n'autorise pas une autre conclusion, tant la culpabilité des deux condamnés diffère (pour l'intimé, période pénale plus restreinte, deux seules occurrences, rôle d'exécutant). Ainsi le jugement de première instance sera-t-il entièrement confirmé.</w:t>
      </w:r>
    </w:p>
    <w:p>
      <w:r>
        <w:rPr>
          <w:b/>
        </w:rPr>
        <w:t>E. 4</w:t>
      </w:r>
    </w:p>
    <w:p>
      <w:r>
        <w:t>Par ordonnance séparée du Tribunal correctionnel prononcée à l'issue de l'audience, le maintien en détention de l'appelant a été ordonné. Les motifs retenus peuvent être repris mutatis mutandis ici, le risque de récidive ayant été admis pour justifier la révocation de la libération conditionnelle accordée en 2009. Le risque de fuite peut être tenu pour accru nonobstant les liens familiaux, dès lors que l'appelant se sait désormais en appel condamné à une peine importante.</w:t>
      </w:r>
    </w:p>
    <w:p>
      <w:r>
        <w:rPr>
          <w:b/>
        </w:rPr>
        <w:t>E. 5</w:t>
      </w:r>
    </w:p>
    <w:p>
      <w:r>
        <w:t>L'appelant, qui succombe, supportera les frais de la procédure envers l'État (art. 428 CPP), lesquels comprennent une indemnité de procédure de CHF 3'000.- (art. 14 al. 1 let. c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