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P/11950/2021 vom 9. Oktober 2024</w:t>
      </w:r>
    </w:p>
    <w:p>
      <w:r>
        <w:t>GE Cour de justice, 2024-10-09, FR</w:t>
      </w:r>
    </w:p>
    <w:p>
      <w:r>
        <w:rPr>
          <w:b/>
        </w:rPr>
        <w:t xml:space="preserve">Quelle: </w:t>
      </w:r>
      <w:r>
        <w:t>https://mcp.opencaselaw.ch/entscheid/ge_gerichte_P_11950_2021</w:t>
      </w:r>
    </w:p>
    <w:p>
      <w:r>
        <w:t>FR: GE_GERICHTE P/11950/2021 du 9 octobre 2024</w:t>
      </w:r>
    </w:p>
    <w:p>
      <w:r>
        <w:t>IT: GE_GERICHTE P/11950/2021 del 9 ottobre 2024</w:t>
      </w:r>
    </w:p>
    <w:p>
      <w:pPr>
        <w:pStyle w:val="Heading2"/>
      </w:pPr>
      <w:r>
        <w:t>Regeste</w:t>
      </w:r>
    </w:p>
    <w:p>
      <w:r>
        <w:t>PRINCIPE DE L'ACCUSATION | LCR.90; LCR.91.ala; CPP.9</w:t>
      </w:r>
    </w:p>
    <w:p>
      <w:pPr>
        <w:pStyle w:val="Heading2"/>
      </w:pPr>
      <w:r>
        <w:t>Erwägungen</w:t>
      </w:r>
    </w:p>
    <w:p>
      <w:r>
        <w:rPr>
          <w:b/>
        </w:rPr>
        <w:t>E. 1</w:t>
      </w:r>
    </w:p>
    <w:p>
      <w:r>
        <w:t>L'appel est recevable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 AARP/223/2024 du 19 juin 2024 consid. 2.1 ; AARP/398/2023 du 20 novembre 2023 consid. 5.1).</w:t>
      </w:r>
    </w:p>
    <w:p>
      <w:r>
        <w:rPr>
          <w:b/>
        </w:rPr>
        <w:t>E. 2.2</w:t>
      </w:r>
    </w:p>
    <w:p>
      <w:r>
        <w:t>Dans son jugement, le Tribunal de police a retenu que l'appelant avait pu comprendre quels faits lui étaient reprochés à la lecture de l'ordonnance pénale mentionnant que le dispositif d'aspiration d'air de son motocycle était "non conforme" et ainsi préparer efficacement sa défense. Cette motivation ne peut être suivie. Sur le plan factuel, la lecture de l'ordonnance pénale permet uniquement de comprendre qu'il existerait un potentiel problème avec le dispositif d'aspiration d'air du deux-roues de l'appelant. La nature de cette anomalie n'est toutefois pas détaillée plus avant, ce qui ne permet pas de déterminer quel est concrètement le défaut reproché, et en particulier s'il a trait à la sécurité du véhicule, à ses émissions de gaz ou encore au bruit engendré. Cela vaut d'autant plus que, de manière révélatrice, ni le rapport de police, ni l'ordonnance pénale, ni le jugement de première instance ne mentionnent explicitement quelle est la norme légale qui serait violée, alors même que l'art. 93 al. 2 let. a LCR ne fait sur ce point que renvoyer au reste du droit routier, et en particulier à l'OETV (ATF 144 IV 386 consid. 2.2.1). La Chambre d'appel et de révision est ainsi dans l'impossibilité de comprendre quel est le reproche concret fait par l'accusation à l'appelant. A fortiori, celui-ci était dans l'impossibilité de s'en défendre efficacement. La violation de la maxime d'accusation est donc manifeste. La référence faite par le MP à la photographie du système d'aspiration d'air par la police est hors de propos, la juridiction d'appel n'ayant pas vocation à se substituer aux experts mécaniciens. Il s'ensuit que l'appelant sera acquitté du chef de conduite d'un véhicule ne répondant pas aux prescriptions, et le jugement querellé réformé en ce sens. Dans ces conditions, il n'y a pas lieu d'examiner si les éléments constitutifs de cette infraction étaient réalisés, ce qui apparaît à première vue douteux, en tout cas sur le plan subjectif, au vu de l'attestation de la société E______ AG du 12 septembre 2017.</w:t>
      </w:r>
    </w:p>
    <w:p>
      <w:r>
        <w:rPr>
          <w:b/>
        </w:rPr>
        <w:t>E. 3</w:t>
      </w:r>
    </w:p>
    <w:p>
      <w:r>
        <w:t>3.1.1. Selon l'art. 91a LCR, quiconque, en qualité de conducteur d'un véhicule automobile, s'oppose intentionnellement à une prise de sang qui a été ordonnée, se rend coupable d'entrave aux mesures de constatation de l'incapacité de conduire. L'art. 91a al. 1 LCR distingue trois comportements punissables : la fuite, la dérobade (mise en échec d'une constatation), ainsi que l'opposition (ATF 146 IV 88 consid. 1.6.1). S'agissant de l'opposition, le comportement prohibé consiste à résister activement ou passivement de telle manière qu'une mesure d'investigation de l'incapacité de conduire ne puisse pas être exécutée (arrêts du Tribunal fédéral 6B_90/2023 du 22 janvier 2024 consid. 4.1 ; 6B_1318/2022 du 22 mai 2023 consid. 2.1.1 ; 6B_158/2019 du 12 mars 2019 consid. 1.1.1). Cette infraction exige en outre un résultat, à savoir qu'il soit définitivement impossible d'établir de manière probante l'état de la personne au moment déterminant au moyen de l'une des mesures spécifiques prévues par la loi (ATF 146 IV 88 consid. 1.6.3 ; arrêt du Tribunal fédéral 6B_90/2023 du 22 janvier 2024 consid. 4.1). Il en découle qu'une entrave aux mesures de constatation de l'incapacité de conduire du fait d'une opposition ne doit être retenue que lorsque les autorités de poursuite ont épuisé les possibilités offertes par l'art. 55 LCR et les art. 10 à 12 de l'ordonnance sur le contrôle de la circulation routière (OCCR) en ordonnant valablement une prise de sang, mais qu'il doit être renoncé à sa mise en œuvre au vu du comportement de l'auteur, en particulier à l'aune du principe de proportionnalité (arrêt du Tribunal fédéral 6B_90/2023 du 22 janvier 2024 consid. 4.3 ; W. WOHLERS, Die aktuelle Rechtsprechung des Bundesgerichts zu Art. 91a SVG, in : Circulation routière 1/2021, p. 8). Subjectivement, il est nécessaire que l'auteur ait eu la conscience de la haute vraisemblance de la mise en œuvre d'une prise de sang et qu'il ait voulu entraver cette mesure (en ce sens : ATF 131 IV 36 consid. 2.2.1). Le dol éventuel suffit (ATF 146 IV 88 consid 1.4.1 ; 145 IV 50 consid. 3.1 ; arrêt du Tribunal fédéral 6B_90/2023 du 22 janvier 2024 consid. 4.6.2). 3.1.2. L'art. 55 al. 3 et 3 bis LCR prévoient qu'une prise de sang doit notamment être ordonnée si la personne concernée s'oppose ou se dérobe à un contrôle de l'alcool dans l'air expiré ( Atemalkoholprobe ; dell'analisi dell'alito ) ou fait en sorte que cette mesure ne puisse atteindre son but, ou encore si un tel contrôle est impossible ou s'il est inapproprié pour constater l'infraction. L'art. 12 OCCR prévoit les mêmes principes, en précisant ce qu'il faut entendre par contrôle impossible ou inapproprié. Dans un arrêt de principe, le Tribunal fédéral a retenu qu'une prise de sang réalisée dans le cadre d'une instruction visant à réprimer de potentielles infractions, soit lorsque le CPP trouve application, constituait une mesure de contrainte soumise à l'art. 198 al. 1 let a CPP ; en conséquence, seul le ministère public était compétent pour ordonner cette mesure (ATF 143 IV 313 consid. 5.2). En réaction, l'Assemblée fédérale a adopté l'art. 251a let. b CPP, entré en vigueur au 1 er janvier 2024, afin d'octroyer désormais ce pouvoir également à la police. Cette norme n'est pas applicable au complexe de faits objet de la présente procédure, qui date du 9 juin 2021, dans la mesure où l'application d'une norme de validité formelle à un évènement clos avant que celle-ci entre en vigueur (rétroactivité proprement dite) est en principe prohibée par le droit constitutionnel (ATF 150 I 144 consid. 6.1 ; ATF 146 V 364 consid. 7.1 ; 144 I 81 consid. 4.1 ; 138 I 189 consid. 3.4).</w:t>
      </w:r>
    </w:p>
    <w:p>
      <w:r>
        <w:rPr>
          <w:b/>
        </w:rPr>
        <w:t>E. 3.2</w:t>
      </w:r>
    </w:p>
    <w:p>
      <w:r>
        <w:t>En l'espèce, c'est à juste titre que le TP a retenu que les conditions matérielles d'une prise de sang aux fins d'établir précisément le taux d'alcoolisation de l'appelant étaient remplies, une mesure au moyen de l'éthylomètre s'étant révélée inefficace. En revanche, à la date des évènements, celle-ci aurait dû être ordonnée par le MP. Or, tant dans son acte d'accusation et que dans ses observations en appel, celui-ci a précisé que la prise de sang avait été ordonnée par la police, ce qui apparaît également ressortir implicitement du rapport d'arrestation du 10 juin 2021 (p. 5). Certes, dans un rapport policier du 15 janvier 2022 (p. 5 également), il est succinctement mentionné que l'ordre de procéder à une prise de sang serait issu du MP. Cependant, si une telle décision peut être communiquée oralement à la police (cf. ATF 143 IV 313 consid. 5.2 ; arrêt du Tribunal fédéral 6B_996/2016 du 11 avril 2017 consid. 3.3), elle doit être confirmée ultérieurement par écrit (cf. arrêt du Tribunal fédéral 1B_443/2020 du 18 janvier 2021 consid. 2.2), conformément à l'art. 241 al. 1 CPP (cf. arrêt du Tribunal fédéral 6B_996/2016 du 11 avril 2017 consid. 3.5), et figurer par conséquent au dossier de la procédure (cf. art. 100 CPP ; arrêt du Tribunal fédéral 6B_895/2022 du 19 juin 2023 consid. 2.2.3). En tout état de cause, l'accusation n'a pas apporté la preuve d'un éventuel ordre oral du MP de réaliser une prise de sang. Il s'ensuit que l'appelant était fondé à refuser une prise de sang illégale, faute pour celle-ci d'avoir été ordonnée par l'autorité compétente. Aucun comportement d'opposition à une mesure de constatation de l'incapacité de conduire ne peut ainsi lui être reproché (dans le même sens : arrêt du Tribunal fédéral 1B_443/2020 du 18 janvier 2021 consid. 2.3 ; arrêts de l'Obergericht argovien SST.2022.138 du 21 septembre 2022 consid. 1.3 ; SST.2022.50 du 22 juin 2022 consid. 2.3). Un élément constitutif objectif de l'infraction de l'art. 91a LCR fait donc défaut. Par ailleurs, même si l'infraction qualifiée de conduite sous l'influence de l'alcool de l'art. 91 al. 2 LCR est susceptible d'entrer en concours avec celle de l'art. 91a LCR (ATF 102 IV 40 consid. 2b ; arrêt du Tribunal fédéral 6B_370/2024 du 5 août 2024 consid. 2.3.3), cette première infraction ne peut de toute façon en l'espèce pas être retenue, faute d'appel du MP sur ce point (cf. art. 391 al. 2 CPP). En conclusion l'appelant doit également être acquitté de ce chef d'accusation. L'appel est entièrement fondé.</w:t>
      </w:r>
    </w:p>
    <w:p>
      <w:r>
        <w:rPr>
          <w:b/>
        </w:rPr>
        <w:t>E. 4</w:t>
      </w:r>
    </w:p>
    <w:p>
      <w:r>
        <w:t>4.1.1. L'infraction de violation simple des règles de la circulation routière est punissable d'une amende d'un montant maximal de CHF 10'000.-. (cf. art. 90 al. 1 et 102 al. 1 LCR en lien avec l'art. 106 al. 1 CP). 4.1.2. Le montant d'une amende doit être fixé sur la base de la culpabilité de l'auteur (1) et de ses capacités financières (2), dans ce cadre ces dernières jouent toutefois un rôle plus secondaire que dans la fixation d'une peine pécuniaire (ATF 134 IV 97 consid. 6.3.7.1 ; 134 IV 60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 141 IV 61 consid. 6.1.1 ; 136 IV 55 consid. 5.5, 5.6 et 5.7), ainsi que l'effet de la peine sur son avenir. L'absence d'antécédent a un effet neutre sur la fixation de la peine (ATF 141 IV 61 consid. 6.3.2 ; 136 IV 1 consid. 2.6.4). 4.1.3. Selon l'art. 106 al. 2 CP, le juge prononce dans son jugement, pour le cas où, de manière fautive, le condamné ne paie pas l'amende, une peine privative de liberté de substitution d'un jour au moins et de trois mois au plus. 4.1.4. Aux termes de l'art. 51 CP, le juge impute sur la peine la détention avant jugement subie par l'auteur dans le cadre de l'affaire qui vient d'être jugée ou d'une autre procédure. Cette imputation se réalise par période de 24 heures consécutives (arrêt du Tribunal fédéral 6B_1100/2023 du 8 juillet 2024 [destiné à la publication] consid. 2.3), mais uniquement dès que le prévenu a été retenu plus de trois heures par les autorités de poursuite (en ce sens : ATF 143 IV 339 consid. 3.2 ; AARP/99/2024 du 8 mars 2024 consid. 4.3.2). L'imputation d'un jour de détention avant jugement sur une amende s'effectue sur la base du facteur de conversion retenu pour la peine privative de liberté de substitution (ATF 135 IV 126 consid. 1.3.9). 4.2.1. La culpabilité de l'appelant est grave dans la mesure où son taux d'alcoolisation se trouvait largement au-dessus du seuil qualifié au sens de l'art. 2 de l'Ordonnance de l'Assemblée fédérale concernant les taux limites d'alcool admis en matière de circulation routière. Sa coopération à la procédure n'a pas été bonne car il a commencé par nier avoir bu les quantités d'alcool nécessaires à atteindre un taux de 0.89 mg/l dans l'air expiré, avant d'admettre ses torts. En revanche, il apparaît faire des efforts pour rester abstinent. Il n'a pas d'antécédent. Ses revenus sont particulièrement modestes. Au vu de ce qui précède, il se justifie de prononcer une amende de CHF 500.- au titre de l'infraction de violation simple des règles de la circulation routière au sens de l'art. 90 al. 1 LCR. 4.2.2. Le TP a fixé une peine privative de liberté de substitution de cinq jours, soit une clé de conversion type de CHF 100.- par jour (cf. ATF 149 I 248 consid. 5.4.2), qui sera maintenue. Le prévenu a été détenu plus de trois heures le 10 juin 2021 et le 16 janvier 2022. Deux jours de détention avant jugement doivent donc être imputés sur sa peine, comme l'a d'ailleurs retenu le MP dans son ordonnance pénale. Cela correspond à un montant de CHF 200.-. Par conséquent, l'appelant sera condamné à une peine de CHF 500.- sous imputation de CHF 200.- au titre de ses jours de détention avant jugement. La peine privative de liberté de substitution sera, dans la suite, fixée à trois jours.</w:t>
      </w:r>
    </w:p>
    <w:p>
      <w:r>
        <w:rPr>
          <w:b/>
        </w:rPr>
        <w:t>E. 5</w:t>
      </w:r>
    </w:p>
    <w:p>
      <w:r>
        <w:t>5.1.1.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 du 4 mai 2023 consid. 3.1.4). Seul le résultat de la procédure d'appel elle-même est ainsi déterminant (ATF 142 IV 163 consid. 3.2.1). 5.2.1. Un complexe de faits distinct de celui de la procédure d'appel a été entièrement classé en première instance et celui relatif au chef de conduite d'un véhicule ne répondant pas aux prescriptions s'est conclu par un acquittement. En revanche, s'agissant de l'accident du 9 juin 2021, l'appelant a été condamné de violation simple de la sécurité routière, sans qu'un acte d'instruction y relatif (en particulier la réalisation d'éthylotests) ne puisse être qualifié d'inutile d'emblée. Partant, il se justifie de condamner l'appelant au paiement de 25% des frais de la procédure préliminaire et de première instance, soit CHF 487.75, le solde restant à charge de l'État. 5.2.2. L'appel ayant été entièrement admis, il ne sera pas perçu de frais en lien avec la procédure de seconde instance (art. 428 CPP a contrario).</w:t>
      </w:r>
    </w:p>
    <w:p>
      <w:r>
        <w:rPr>
          <w:b/>
        </w:rPr>
        <w:t>E. 6</w:t>
      </w:r>
    </w:p>
    <w:p>
      <w:r>
        <w:t>6.1.1.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6.1.2.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 AARP/192/2024 du 29 juillet 2024 consid. 9.1.2 ; AARP/252/2024 du 18 juillet 2024 consid. 7.2).</w:t>
      </w:r>
    </w:p>
    <w:p>
      <w:r>
        <w:rPr>
          <w:b/>
        </w:rPr>
        <w:t>E. 6.2</w:t>
      </w:r>
    </w:p>
    <w:p>
      <w:r>
        <w:t>En l'occurrence, l'état de frais de cinq heures et cinq minutes de travail de M e C______ apparaît adéquat au vu de la complexité factuelle simple et de la difficulté juridique moyenne de la cause, de sorte qu'il y a lieu de l'admettre dans son entièreté. Sa rémunération sera ainsi arrêtée à CHF 1'319.25, correspondant à 5.085 heures d'activité au tarif de CHF 200.-/heure (CHF 1'017.-) plus la majoration forfaitaire de 20% (CHF 203.40) et l'équivalent de la TVA au taux de 8.1% (CHF 98.85).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