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P/11925/2022 vom 24. März 2025</w:t>
      </w:r>
    </w:p>
    <w:p>
      <w:r>
        <w:t>GE Cour de justice, 2025-03-24, FR</w:t>
      </w:r>
    </w:p>
    <w:p>
      <w:r>
        <w:rPr>
          <w:b/>
        </w:rPr>
        <w:t xml:space="preserve">Quelle: </w:t>
      </w:r>
      <w:r>
        <w:t>https://mcp.opencaselaw.ch/entscheid/ge_gerichte_P_11925_2022</w:t>
      </w:r>
    </w:p>
    <w:p>
      <w:r>
        <w:t>FR: GE_GERICHTE P/11925/2022 du 24 mars 2025</w:t>
      </w:r>
    </w:p>
    <w:p>
      <w:r>
        <w:t>IT: GE_GERICHTE P/11925/2022 del 24 marzo 2025</w:t>
      </w:r>
    </w:p>
    <w:p>
      <w:pPr>
        <w:pStyle w:val="Heading2"/>
      </w:pPr>
      <w:r>
        <w:t>Regeste</w:t>
      </w:r>
    </w:p>
    <w:p>
      <w:r>
        <w:t>INFRACTIONS EN MATIÈRE DE LP;AVANTAGE ACCORDÉ À UN CRÉANCIER | CP.169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Aux termes de l'art. 169 CP, est punissable quiconque, de manière à causer un dommage à ses créanciers, dispose arbitrairement d'une valeur patrimoniale saisie ou séquestrée, inventoriée dans une poursuite pour dettes ou une faillite, portée à un inventaire constatant un droit de rétention ou appartenant à l'actif cédé dans un concordat par abandon d'actif ou l'endommage, la détruit, la déprécie ou la met hors d'usage. L'infraction de détournement de valeurs patrimoniales mises sous main de justice protège d'une part les intérêts des créanciers, mais également l'autorité de l'État (ATF 129 IV 68 consid. 2 ; 121 IV 353 consid. 2b ; arrêt du Tribunal fédéral 6B_556/2022 du 20 décembre 2022 consid. 1.2). Les éléments constitutifs objectifs de l'infraction sont l'existence d'une des interdictions de disposer exclusivement listées à l'art. 169 CP, notamment d'une saisie (cf. 96 al. 1 LP ; arrêt du Tribunal fédéral 6B_556/2022 du 20 décembre 2022 consid. 1.2) et d'une transgression, juridique ou de facto, de celle-ci (ATF 129 IV 68 consid. 2.1 ; 121 IV 353 consid. 2b). Le juge pénal n'a pas à revoir la légalité de la mesure d'interdiction de disposer, sous réserve de l'absolue nullité de celle-ci auquel cas une infraction à l'art. 169 CP est exclue (ATF 105 IV 322 consid. 2a ; AARP/58/2024 du 9 février 2024 consid. 2.1.1 ; AARP/398/2023 du 20 novembre 2023 consid. 4.1.1 ; AARP/446/2012 du 7 décembre 2012 consid. 2). Si le gain effectif réalisé par la personne de condition indépendante est inférieur aux prévisions, il lui revient d'examiner si l'intéressé avait les moyens, d'honorer, même partiellement, la saisie ordonnée (B. CORBOZ, Les infractions en droit suisse, vol. II, 3 ème éd., Berne 2010, N 19 ad art. 169). La personne indépendante qui omet de verser à l'Office des poursuites les gains qu'elle réalise dispose arbitrairement d'une valeur patrimoniale saisie de manière à causer un dommage à ses créanciers (M. NIGGLI / H. WIPRÄCHTIGER, Basler Kommentar Strafrecht II : Art. 137-392 StGB, Jugendstrafgesetz, 4 ème éd., Bâle 2019, N 6 ss ad art. 169). L'auteur doit avoir agi intentionnellement, le dol éventuel suffit (arrêt du Tribunal fédéral 6B_556/2022 du 20 décembre 2022 consid. 1.2 ; AARP/58/2024 du 9 février 2024 consid. 2.1.1 ; AARP/398/2023 du 20 novembre 2023 consid. 4.1.1). Il doit de plus avoir le dessein de nuire aux créanciers du poursuivi (ATF 119 IV 134 consid. 2b ; arrêts du Tribunal fédéral 6B_556/2022 du 20 décembre 2022 consid. 1.2 ; 1B_238/2018 du 9 septembre 2018 consid. 2.3). 2.1.2. Si elle n'est pas prévue par la loi, la nullité absolue d'une décision viciée n'est à admettre que si le vice qui l'affecte est particulièrement grave (1), manifeste ou au moins facilement décelable (2) et si la sécurité du droit n'est pas ainsi mise sérieusement en danger (3) ; celle-ci est tout particulièrement importante en droit pénal.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En principe, les vices menant à la nullité d'une décision sont de nature procédurale, comme en particulier l'incompétence matérielle et fonctionnelle de l'autorité ayant statué ; des vices de fond n'entraînent que très rarement la nullité d'une décision (ATF 149 IV 9 consid. 6.1). 2.1.3. Aux termes de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 108 III 60 consid. 3 ; arrêt du Tribunal fédéral 5A_912/2018 du 16 janvier 2018 consid. 3.1). Le revenu d'un indépendant est constitué par son bénéfice net, à savoir la différence entre les produits et les charges (cf. DCSO/383/2021 du 7 octobre 2021 consid. 2.1.2). Hormis les charges sociales, doivent encore être déduits du revenu brut tous les frais d'acquisition du revenu, communément appelés frais professionnels, pour autant qu'ils n'aient pas été déjà ajoutés au minimum vital et pour autant qu'ils soient indispensables à l'obtention du revenu. Entrent dans cette catégorie : les frais d'acquisition et d'entretien de l'outillage, le loyer professionnel, les frais de déplacement nécessités par l'exercice de la profession, etc. (ATF 112 III 19 consid. 2 et 4 ; L. DALLÈVES / B. FOËX / N. JEANDIN [éds], Commentaire romand : Poursuite et faillite, Bâle 2005, N 163 ad art. 93). Conformément à l'obligation de renseignement qui lui incombe en vertu de l'art. 91 al. 1 ch. 2 LP, le débiteur doit fournir à l'Office toutes les informations et pièces permettant à celui-ci de calculer son minimum d'existence au sens de l'art. 93 al. 1 LP. 2.1.4. Les entreprises individuelles qui ont réalisé un chiffre d'affaires inférieur à CHF 500'000.- lors du dernier exercice ne tiennent qu'une comptabilité des recettes et des dépenses, ainsi que du patrimoine (art. 957 al. 2 du Code des obligations [CO]), soit une comptabilité simplifiée (type " carnet de lait "), par opposition à une comptabilité complète prévues aux art. 957 ss CO (P. TERCIER / M. AMSTUTZ / R. TRIGO TRINDADE [éds], Commentaire romand, Code des obligations II (CO II), Bâle 2017, N 19 ss ad art. 957). Selon l'art. 960e al. 2 CO, lorsque, en raison d'événements passés, il faut s'attendre à une perte d'avantages économiques pour l'entreprise lors d'exercices futurs, il y a lieu de constituer des provisions à charge du compte de résultat, à hauteur du montant vraisemblablement nécessaire. 2.2.1. L'appelant critique la légalité de la décision du 17 septembre 2021 fixant à CHF 3'422.- la quotité saisissable de son gain mensuel, partant la légalité des décisions de saisie de l'OCP, lesquelles ont pour effet d'interdire au poursuivi de disposer des valeurs saisies (cf. art. 96 LP). L'OCP aurait retenu à tort qu'une partie de son salaire était saisissable. Il convient ainsi d'examiner si ces prononcés sont viciés au point d'être absolument nul. 2.2.2. En l'espèce, il n'est pas contesté que l'appelant a été visé par trois saisies et qu'il a eu connaissance de celles-ci. 2.2.3. Sur le plan des revenus, l'OCP a retenu en septembre 2021 une valeur de CHF 5'067.20 en se fondant sur le compte de pertes et profits de l'année 2019 qui présentait un résultat positif de près de CHF 60'000.-. L'Office n'a pas revu son calcul à réception du bilan pour l'année 2020. La défense soutient que le bilan 2019 ne reflétait pas la situation financière actuelle et prévisible du prévenu et qu'il convenait de tenir compte du bilan pour l'année 2020, qui présentait une perte de plus de CHF 120'000.- pour l'exercice comptable 2020. Lors des exercices comptables 2020 et 2021, l'appelant a inscrit dans ses " autres charges d'exploitation " des provisions (intitulées " perte sur débiteur "), ce qui a conduit à des résultats d'exercice négatifs, notamment une " perte sur débiteur C______ (2018-2019) " en 2020. Ces inscriptions appellent les commentaires suivants. Se prononçant sur ces postes suite à une plainte au sens de l'art. 17 LP déposée par le prévenu à l'encontre d'une décision de saisie ultérieure à celles de la présente procédure, la Chambre de surveillance de la Cour de justice a qualifié ces " pertes sur débiteurs " C______ et B______ de dettes dont l'appelant n'avait pas démontré qu'elles avaient été honorées en 2020. Partant, il ne pouvait en être tenu compte dans le calcul du gain mensuel. Par ailleurs, lorsqu'il a finalisé ses comptes 2020, l'appelant avait déjà signé la convention C______, puisque celle-ci date du 19 octobre 2021 et qu'il a transmis son compte de pertes et profits à l'OCP le 25 novembre suivant. De la sorte, il connaissait le montant de sa dette envers C______, étant précisé qu'il n'a pas produit la convention C______ de sorte que la Cour de céans en ignore les termes. L'inscription d'une provision " C______ " ne saurait dès lors être admise, à défaut de certitude quant à son montant, outre qu'il est douteux que celle-ci représente une provision comptable au sens de l'art. 960e CO, s'agissant d'une perte éprouvée et non future. Par ailleurs, cette dette a été compensée en majeure partie en 2021, ce que le prévenu savait lorsqu'il a établi les comptes 2020, de sorte qu'une telle opération n'aurait pas dû figurer dans les dits comptes, mais dans ceux établis ultérieurement. Or, la compensation avec C______ ne ressort nullement des comptes 2021 de l'appelant. S'agissant de la provision constituée pour B______, le dossier ne permet pas d'établir les contours de cette dette. La procédure contient uniquement la convention pour l'année 2019, et non celle pour l'année 2018. Le prévenu n'a fourni aucune explication quant au calcul de ce montant de près de CHF 145'000.-. En tout état, la jurisprudence est claire : pour déterminer le revenu net d'un indépendant, l'Office doit déduire du revenu brut les frais d'acquisition de celui-ci, soit les charges indispensables à son obtention, effectivement payées. Les provisions n'entrent donc pas dans les déductions admissibles. Si l'OCP en tenait compte, cela reviendrait à privilégier certains créanciers et à rendre le système de la saisie inefficace. Au vu de ce qui précède, c'est à juste titre que l'OCP n'a pas tenu compte de ces postes dans le calcul du revenu du prévenu. 2.2.4. Sur le plan des charges, dans le calcul du minimum vital, l'OCP n'a pas comptabilisé de montant au titre de l'assurance-maladie obligatoire, alors que tel doit être le cas dans la mesure de la prime effectivement payée par le poursuivi (CHF 455.65/mois in casu). L'OCP n'a pas non plus tenu compte du paiement du loyer mensuel de l'appartement occupé par l'appelant et son épouse (CHF 3'780.-) ; et ce, contrairement aux Normes d'insaisissabilité pour l'année 2024 (inchangées sur ce point par rapport à l'année 2021). L'OCP a uniquement considéré le montant de base mensuel pour un couple marié, ainsi que quelques frais (CHF 50.- pour le prévenu et CHF 595.- pour son épouse). Dès lors, le calcul des charges opéré par l'OCP apparaît incomplet. Cela étant, ces vices auraient dû être invoqués par les voies ordinaires de recours. Ils pouvaient faire l'objet soit d'une plainte selon l'art. 17 LP (ATF 130 III 765 consid. 2.1 ; 129 III 242 consid. 4), soit d'une demande de révision au sens de l'art. 93 al. 3 LP (arrêt du Tribunal fédéral 5A_810/2022 du 1 er mai 2023 consid. 5.1 et 5.2). Le principe de la bonne foi impose au prévenu un devoir de coopération en ce qui concerne les faits et pièces (ou les réquisitions pour les obtenir) permettant d'établir qu'une décision de saisie souffre d'un vice si grave et ostensible qu'elle en est nulle. Celui-ci ne saurait se contenter d'alléguer des montants sans aucune pièce, comme l'a fait l'appelant eu égard aux provisions constituées, ou de déposer des documents vaguement relatifs au complexe de faits en cause, comme le courrier de C______ du 19 octobre 2022, sans produire la convention elle-même, ou comme la convention B______ 2019, sans produire celle relative à 2018, alors qu'il a inscrit une provision pour les années 2015 à 2019. En tous les cas, les vices dont souffriraient le calcul de l'OCP ne sont pas suffisants pour retenir que la quotité saisissable retenue, a fortiori les décisions de saisie, seraient nulles plus de trois ans après leurs prononcés, au détriment de la sécurité du droit. Cela vaut d'autant plus que, même si l'on retenait l'hypothèse la plus favorable pour l'appelant s'agissant de ses revenus et de ses charges, une petite partie de son gain mensuel aurait néanmoins été saisissable à hauteur de CHF 133.10 (CHF 5'067.20 – CHF 4'934.10 [soit 70.13% {part en % des charges totales du ménage à sa charge vu les revenus mensuels de chacun des époux} de CHF 7'035.70 : CHF 1'700.- {montant de base mensuel} + CHF 3'780.- {loyer effectif} + CHF 910.70 {2 x CHF 455.35, soit les primes LAMal 2021 pour chacun des époux} + CHF 50.- {frais médicaux retenus par l'OCP pour l'appelant} + CHF 595.- {frais divers retenus par l'OCP pour son épouse}]). Il sied encore de préciser que, vu le montant élevé du loyer du prévenu au moment des faits, lequel apparaît disproportionné par rapport à sa situation économique et personnelle, l'OCP aurait vraisemblablement exigé qu'il soit ramené à un niveau en adéquation avec celle-ci conformément aux Normes d'insaisissabilité, ce qui aurait permis d'augmenter la quotité saisissable. En conclusion, le calcul de la quotité mensuelle saisissable établi par l'OCP le 17 septembre 2021 ne constitue pas un acte nul, de sorte que les décisions de saisie ne le sont pas non plus.</w:t>
      </w:r>
    </w:p>
    <w:p>
      <w:r>
        <w:rPr>
          <w:b/>
        </w:rPr>
        <w:t>E. 2.3</w:t>
      </w:r>
    </w:p>
    <w:p>
      <w:r>
        <w:t>Comme démontré ci-dessus, si l'OCP avait tenu compte des charges de loyer et d'assurances maladie effectivement payées, le prévenu aurait néanmoins été en mesure de s'acquitter partiellement de la saisie ordonnée (à tout le moins à hauteur de CHF 133.10). Sa quotité mensuelle saisissable était même a priori plus importante pendant la période pénale, compte tenu des comptes 2020, 2021 et 2022 dont il ressort que le revenu net au sens de l'art. 93 LP était supérieur à 2019 (c'est-à-dire sans considérer les postes n'apparaissant pas comme des charges professionnelles effectivement payées " pertes sur débiteur " et " factures ouvertes et contentieux "). Ainsi, en n'effectuant aucun versement en main de l'OCP, alors qu'il faisait l'objet de décisions de saisie qu'il avait les moyens, à tout le moins partiellement, d'honorer, l'appelant a réalisé les éléments constitutifs objectifs de l'infraction de détournement de valeurs patrimoniales mises sous main de justice pour la période du 28 août 2021 au 17 août 2022.</w:t>
      </w:r>
    </w:p>
    <w:p>
      <w:r>
        <w:rPr>
          <w:b/>
        </w:rPr>
        <w:t>E. 2.4</w:t>
      </w:r>
    </w:p>
    <w:p>
      <w:r>
        <w:t>La question peut demeurer ouverte de savoir si l'appelant était autorisé à signer la convention C______ et à subir la compensation en résultant, étant relevé qu'un tel acte privilégie nécessairement un créancier au détriment de ceux ayant choisi la voie légale de la poursuite. La question ne se pose en revanche pas pour la convention B______. Celle figurant au dossier, signée le 25 juillet 2022, prévoit une restitution en 30 échéances à partir du 1 er janvier 2025. Il est ainsi vraisemblable que les trois versements de CHF 3'333.30 effectués en 2022 soient en lien avec la convention pour l'année 2018, non produite à la procédure. Quoiqu'il en soit, le prévenu n'a effectué aucun versement à B______ pendant les périodes pénales visées dans la présente procédure (du 28 août 2021 au 17 août 2022). Partant, dite convention n'a pas porté préjudice aux créanciers des séries considérées ici.</w:t>
      </w:r>
    </w:p>
    <w:p>
      <w:r>
        <w:rPr>
          <w:b/>
        </w:rPr>
        <w:t>E. 2.5</w:t>
      </w:r>
    </w:p>
    <w:p>
      <w:r>
        <w:t>L'appelant a agi intentionnellement en n'obtempérant pas aux décisions de saisie et aux interdictions de disposer des gains saisissables. Il ne pouvait ignorer que son comportement était de nature à nuire à ses créanciers saisissants. Certes, il a fait face à des demandes de rétrocessions très importantes de nombreuses assurances-maladies simultanément, alors même que le dossier ne permet pas de déterminer comment il s'est retrouvé dans cette situation. Ce nonobstant, il se devait de réagir en fournissant un maximum d'informations financières actuelles à l'OCP, en contrôlant les calculs des minimums vitaux et en les contestant cas échéant, enfin en s'acquittant, même dans une moindre mesure, des saisies afin de démontrer qu'il faisait face à ses responsabilités financières de manière égale envers tous ses créanciers et dans la mesure de ses capacités.</w:t>
      </w:r>
    </w:p>
    <w:p>
      <w:r>
        <w:rPr>
          <w:b/>
        </w:rPr>
        <w:t>E. 2.6</w:t>
      </w:r>
    </w:p>
    <w:p>
      <w:r>
        <w:t>Au vu de ce qui précède, le verdict de culpabilité de détournement de valeurs patrimoniales mises sous main de justice sera confirmé (art. 169 CP).</w:t>
      </w:r>
    </w:p>
    <w:p>
      <w:r>
        <w:rPr>
          <w:b/>
        </w:rPr>
        <w:t>E. 3</w:t>
      </w:r>
    </w:p>
    <w:p>
      <w:r>
        <w:t>3.1. Le détournement de valeurs patrimoniales mises sous main de justice est passible d'une peine privative de liberté de trois ans au plus ou d'une peine pécuniaire (art. 169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3.3</w:t>
      </w:r>
    </w:p>
    <w:p>
      <w:r>
        <w:t>La faute de l'appelant, vu les biens juridiques touchés – intérêts des créanciers et autorité de l'État –, ne saurait être sous-estimée, d'autant qu'il n'a pas obtempéré, même partiellement, aux saisies visant son gain mensuel. Son comportement illicite s'est en outre inscrit dans la durée. Il convient de prendre en considération sa situation économique difficile qui, du fait des imprécisions de l'OCP dans le calcul de la partie saisissable de son revenu, ne lui permettait pas de s'acquitter de l'entier de la saisie mensuelle. Sa culpabilité peut dès lors être qualifiée de faible à moyenne. L'appelant n'a pas d'antécédent, facteur neutre sur la peine. Au vu de ce qui précède, la peine prononcée par le premier juge sera confirmée, le genre de peine étant acquis à l'appelant, de même que l'octroi du sursis et la fixation du délai d'épreuve à trois ans (cf. art. 391 al. 2 CPP), alors que la quotité du jour-amende respecte les réquisits légaux.</w:t>
      </w:r>
    </w:p>
    <w:p>
      <w:r>
        <w:rPr>
          <w:b/>
        </w:rPr>
        <w:t>E. 4</w:t>
      </w:r>
    </w:p>
    <w:p>
      <w:r>
        <w:t>L'appelant, qui succombe, supportera les frais de la procédure envers l'État (art. 428 CPP), lesquels comprennent un émolument de décision de CHF 1'200.-. Vu l'issue de l'appel, la répartition des frais de la procédure préliminaire et de première instance ne sera pas revue (art. 428 al. 3 CPP).</w:t>
      </w:r>
    </w:p>
    <w:p>
      <w:r>
        <w:rPr>
          <w:b/>
        </w:rPr>
        <w:t>E. 5</w:t>
      </w:r>
    </w:p>
    <w:p>
      <w:r>
        <w:t>Par identité de motifs, l'appelant sera débouté de ses conclusions en indemnisation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