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P/11918/2016 vom 18. März 2020</w:t>
      </w:r>
    </w:p>
    <w:p>
      <w:r>
        <w:t>GE Cour de justice, 2020-03-18, FR</w:t>
      </w:r>
    </w:p>
    <w:p>
      <w:r>
        <w:rPr>
          <w:b/>
        </w:rPr>
        <w:t xml:space="preserve">Quelle: </w:t>
      </w:r>
      <w:r>
        <w:t>https://mcp.opencaselaw.ch/entscheid/ge_gerichte_P_11918_2016</w:t>
      </w:r>
    </w:p>
    <w:p>
      <w:r>
        <w:t>FR: GE_GERICHTE P/11918/2016 du 18 mars 2020</w:t>
      </w:r>
    </w:p>
    <w:p>
      <w:r>
        <w:t>IT: GE_GERICHTE P/11918/2016 del 18 marzo 2020</w:t>
      </w:r>
    </w:p>
    <w:p>
      <w:pPr>
        <w:pStyle w:val="Heading2"/>
      </w:pPr>
      <w:r>
        <w:t>Regeste</w:t>
      </w:r>
    </w:p>
    <w:p>
      <w:r>
        <w:t>ASSASSINAT;TENTATIVE(DROIT PÉNAL);INSTIGATION | CP.22; CP.112; CP.24.al1; CP.19.al2; CP.140</w:t>
      </w:r>
    </w:p>
    <w:p>
      <w:pPr>
        <w:pStyle w:val="Heading2"/>
      </w:pPr>
      <w:r>
        <w:t>Erwägungen</w:t>
      </w:r>
    </w:p>
    <w:p>
      <w:r>
        <w:rPr>
          <w:b/>
        </w:rPr>
        <w:t>E. 1</w:t>
      </w:r>
    </w:p>
    <w:p>
      <w:r>
        <w:t>Les appels et appels joints sont recevables pour avoir été interjetés et motivés selon la forme et dans les délais prescrits (art. 398 et 399 du Code de procédure pénale, du</w:t>
      </w:r>
    </w:p>
    <w:p>
      <w:r>
        <w:rPr>
          <w:b/>
        </w:rPr>
        <w:t>E. 5</w:t>
      </w:r>
    </w:p>
    <w:p>
      <w:r>
        <w:t>5.1.1. En vertu de l'art. 47 de la loi fédérale du 30 mars 1911 complétant le code civil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selon lequel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Statuant selon les règles du droit et de l'équité (art. 4 du code civil suisse du 10 décembre 1907 [CC - RS 210]), le juge dispose d'un large pouvoir d'appréciation (arrêt du Tribunal fédéral 6B_1992/2016 du 2 octobre 2017, consid. 2.2). 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 En application de cette jurisprudence, la SUVA a édicté diverses tables relatives à l'indemnisation des atteintes à l'intégrité et pour séquelles psychiques d'accidents. Ces documents retiennent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Le diagnostic d'état de stress post-traumatique est relativement spécifique au titre des séquelles d'une lésion. 5.1.2. L'ampleur de la réparation morale dépend avant tout de la gravité des souffrances physiques et psychiques consécutives à l'atteinte subie et de la possibilité d'adoucir sensiblement, par le versement d'une somme d'argent, la douleur morale qui en résulte.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5.1.3. En général, il n'est guère possible, en procédure pénale, de retenir l'existence d'une atteinte durable à la santé psychique, le principe de célérité (art. 5 CPP) conduisant à des jugements rapides, le peu de temps écoulé faisant ainsi obstacle à un diagnostic sur la persistance de la lésion. 5.1.4.1.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 ème éd., 2011, p. 385 ; LANDOLT, op. cit ., n. 21 ss ad art. 47 CO). Selon la SUVA, un trouble léger à modéré représente une atteinte à l'intégrité de l'ordre de 20 à 35% ; un trouble modéré représente lui une atteinte de 50%. Cette proportion sert ensuite, en droit des assurances sociales, à la détermination de l'indemnité en proportion du salaire assuré, notion qui n'est pas transposable en droit pénal, mais qui fournit néanmoins une indication pour la première phase de l'évaluation du tort moral fondé sur l'art. 47 CO. Le Tribunal fédéral a d'ailleurs admis qu'il soit procédé au calcul de l'indemnité de base en se fondant par analogie sur les dispositions d'application de la loi fédérale sur l'assurance-accidents du 20 mars 1981 (LAA - RS 832.20), et en appliquant la proportion ainsi déterminée au montant maximal du salaire assuré selon cette législation, soit CHF 148'200.- (art. 22 de l'ordonnance sur l'assurance-accidents du 20 décembre 1982 [OLAA - RS 832.202] ; cf. BERGER, Die Genugtuung und ihre Bestimmung, in WEBER/MÜNCH [éds.], Haftung und Versicherung, 2ème éd. 2015, n 11.41 p. 512). 5.1.4.2.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5.2.1. En raison des circonstances particulières de la présente espèce, on se trouve dans une situation où les médecins traitants de l'appelante ont constaté l'existence d'un état de stress post-traumatique durable suite tant à l'attentat à sa vie qu'aux séquelles physiques en résultant à proprement parler. Il faut donc retenir que l'indemnisation du tort moral de l'appelante pourra se fonder non seulement sur l'atteinte à sa personnalité consécutive à la tentative d'assassinat subie, conformément à l'art. 49 CO, mais aussi sur les lésions corporelles, ces deux éléments combinant des atteintes physique et psychique durables, les prétentions en réparation du tort moral fondées sur les art. 47 et 49 CO pouvant s'additionner (LANDOLT, Obligationenrecht. Die Entstehung durch unerlaubte Handlungen ; Zürich, 2007, n. 55 ad art. 47/49 CO). 5.2.2. En l'espèce, compte tenu des éléments médicaux figurant au dossier, la CPAR retient que l'appelante jointe présente une atteinte à son intégrité qui entrerait dans la catégorie des atteintes de l'ordre de 30%, composée à la fois des déficiences physiques persistantes à son genou et la main et des conséquences psychiques durables qui en sont résultées et ont induit chez elle une modification de son comportement sans espoir d'amélioration, dès lors que nombre de gestes quotidiens ne lui sont plus accessibles, près de quatre ans après les faits, outre qu'elle n'arrive plus à effectuer les tâches bénévoles auxquelles elle se consacrait auparavant. Elle porte toujours sur la tête des séquelles des lésions physiques subies. Elle a d'ailleurs été mise au bénéfice de l'assurance invalidité. Une somme minimale de l'ordre de CHF 50'000.- paraitrait justifiée à cet égard. A ce montant devrait s'ajouter l'indemnité fondée sur l'art. 49 CO, dans la mesure où les conséquences et séquelles de la tentative d'assassinat dont a été victime la partie plaignante sont elles aussi durables. Sa crainte de voir à nouveau sa vie mise en danger est constante et elle redoute que ses agresseurs ne réitèrent leurs actes. Elle vit constamment des réminiscences de son agression et en état de stress. Elle rencontre des problèmes de concentration et de mémoire. Elle ne se voit plus d'avenir. Toute sa vie a été bouleversée et elle a dû divorcer suite aux faits alors que rien ne laissait entendre une séparation. Toutefois, même s'il est relevé que les prétentions en réparation se basent sur deux dispositions légales distinctes dont l'une est un cas d'application de l'autre, il n'est pas possible en l'espèce de distinguer précisément deux postes séparés, les souffrances endurées par G______ étant intimement liées et la part inhérente au tort moral dû à l'atteinte à la personnalité de celle due aux souffrances physiques et leurs séquelles ne pouvant être raisonnablement arrêtée. Compte tenu de l'ensemble de ces éléments précités, la CPAR estime que la partie plaignante doit se voir accorder une indemnité globale de CHF 100'000.- à titre de réparation pour ses souffrances. Son appel joint sera ainsi partiellement accueilli et le jugement réformé dans le sens qui précède.</w:t>
      </w:r>
    </w:p>
    <w:p>
      <w:r>
        <w:rPr>
          <w:b/>
        </w:rPr>
        <w:t>E. 6</w:t>
      </w:r>
    </w:p>
    <w:p>
      <w:r>
        <w:t>Au vu du verdict de culpabilité et de la peine prononcée, les conclusions en indemnisation de A______ seront rejetées et son maintien en détention sera ordonné par ordonnance séparée.</w:t>
      </w:r>
    </w:p>
    <w:p>
      <w:r>
        <w:rPr>
          <w:b/>
        </w:rPr>
        <w:t>E. 7</w:t>
      </w:r>
    </w:p>
    <w:p>
      <w:r>
        <w:t>Les appelants principaux succombent entièrement alors que la partie plaignante et le MP le font partiellement. D______ et A______ supporteront chacun par moitié les trois quarts des frais de la procédure comprenant un émolument de jugement de CHF 5'000.-, le solde étant laissé à la charge de l'Etat (art. 428 CPP).</w:t>
      </w:r>
    </w:p>
    <w:p>
      <w:r>
        <w:rPr>
          <w:b/>
        </w:rPr>
        <w:t>E. 8</w:t>
      </w:r>
    </w:p>
    <w:p>
      <w:r>
        <w:t>8.1.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8.2.1. En l'occurrence, l'état de frais produit par le conseil de l'appelante paraît adéquat et conforme aux dispositions et principes qui précèdent. Une indemnité de CHF 8'950.-, comprenant, outre l'activité préalable à l'audience d'appel, la durée de celle-ci, CHF 100.- de frais d'interprète, l'indemnité de déplacement de CHF 100.-, la majoration forfaitaire et la TVA sera accordée à M e C______. 8.2.2. Vu sa nomination récente, l'état de frais produit par le conseil de l'appelant paraît également adéquat et conforme aux dispositions et principes qui précèdent, de sorte qu'il sera admis sans en reprendre le détail. Une indemnité CHF 11'320.- comprenant, outre l'activité préalable à l'audience d'appel, la durée de celle-ci, l'indemnité de déplacement de CHF 100.- et la majoration forfaitaire sera accordée à M e F______. 8.2.3. Il en va de même de l'état de frais produit par le conseil juridique gratuit de l'appelante jointe. L'indemnité due à M e I______ sera arrêtée à CHF 6'383- correspondant outre l'activité préalable à l'audience d'appel, à la durée de celle-ci, à trois déplacements à CHF 100.-, à la prise en compte de la majoration forfaitaire et à la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