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P/11909/2016 vom 16. Februar 2017</w:t>
      </w:r>
    </w:p>
    <w:p>
      <w:r>
        <w:t>GE Cour de justice, 2017-02-16, FR</w:t>
      </w:r>
    </w:p>
    <w:p>
      <w:r>
        <w:rPr>
          <w:b/>
        </w:rPr>
        <w:t xml:space="preserve">Quelle: </w:t>
      </w:r>
      <w:r>
        <w:t>https://mcp.opencaselaw.ch/entscheid/ge_gerichte_P_11909_2016</w:t>
      </w:r>
    </w:p>
    <w:p>
      <w:r>
        <w:t>FR: GE_GERICHTE P/11909/2016 du 16 février 2017</w:t>
      </w:r>
    </w:p>
    <w:p>
      <w:r>
        <w:t>IT: GE_GERICHTE P/11909/2016 del 16 febbraio 2017</w:t>
      </w:r>
    </w:p>
    <w:p>
      <w:pPr>
        <w:pStyle w:val="Heading2"/>
      </w:pPr>
      <w:r>
        <w:t>Regeste</w:t>
      </w:r>
    </w:p>
    <w:p>
      <w:r>
        <w:t>VOIE DE DROIT ; RÉVISION(DÉCISION); PERMIS DE CONDUIRE | CPP410.1a; CPP413.2a; CPP428.1; LCR90.1</w:t>
      </w:r>
    </w:p>
    <w:p>
      <w:pPr>
        <w:pStyle w:val="Heading2"/>
      </w:pPr>
      <w:r>
        <w:t>Erwägungen</w:t>
      </w:r>
    </w:p>
    <w:p>
      <w:r>
        <w:rPr>
          <w:b/>
        </w:rPr>
        <w:t>E. 1.1</w:t>
      </w:r>
    </w:p>
    <w:p>
      <w:r>
        <w:t>La Chambre pénale d’appel et de révision est l'autorité compétente en matière de révision à compter du 1 er janvier 2011 (art. 21 al. 1 let. b CPP cum art. 130 al. 1 let. a de la Loi d'organisation judiciaire [LOJ ; E 2 05]).</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en révision de l'ordonnance du 16 août 2016, formée le 22 décembre 2016, est donc recevable au regard de ces dispositions.</w:t>
      </w:r>
    </w:p>
    <w:p>
      <w:r>
        <w:rPr>
          <w:b/>
        </w:rPr>
        <w:t>E. 2</w:t>
      </w:r>
    </w:p>
    <w:p>
      <w:r>
        <w:t>2.1. La demande en révision est fondée sur les dispositions de l'art. 410 al. 1 let. a CPP qui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Toutefois, un abus de droit peut être envisagé et opposé à celui qui sollicite une révision sur la base d'un fait qu'il connaissait déjà, mais qu'il n'a pas soumis au juge de la première procédure (ATF 130 IV 72 consid. 2.2 p. 74). L'abus de droit consiste à utiliser une institution juridique à des fins étrangères au but même de la disposition légale qui la consacre, de telle sorte que l'écart entre le droit exercé et l'intérêt qu'il est censé protéger soit manifeste. L'interdiction de l'abus de droit s'étend à l'ensemble des domaines du droit, en particulier à la procédure pénale (ATF 125 IV 79 consid. 1b p. 81).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L'abus de droit ne sera cependant admis qu'avec retenue (ATF 130 IV 72 consid. 2.2 p. 74).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du Tribunal fédéral 6B_415/2012 du 14 décembre 2012 consid. 2.3 et 6B_942/2010 du 7 novembre 2011 consid. 2.2.1).</w:t>
      </w:r>
    </w:p>
    <w:p>
      <w:r>
        <w:rPr>
          <w:b/>
        </w:rPr>
        <w:t>E. 2.2</w:t>
      </w:r>
    </w:p>
    <w:p>
      <w:r>
        <w:t>Les autorités pénales notifient leurs prononcés par lettre signature ou par tout autre mode de communication impliquant un accusé de réception (art. 85 al. 2 CPP). L'ordonnance pénale est immédiatement notifiée par écrit aux personnes et aux autorités qui ont qualité pour former opposition (art. 353 al. 3 CPP), au nombre desquelles le prévenu (art. 354 al. 1 let. a CPP). Si aucune opposition n'est valablement formée, l'ordonnance pénale est assimilée à un jugement entré en force (art. 354 al. 3 CPP). Selon la jurisprudence, le fardeau de la preuve de la notification d'une décision ou d'une communication de l'administration et de sa date incombe, en principe, à l'autorité qui entend en tirer une conséquence juridique. Elle supporte, en outre, les conséquences d'une absence de preuve en ce sens que si la notification ou sa date sont contestées et qu'il existe effectivement un doute à ce sujet, il y a lieu de se fonder sur les déclarations du destinataire de l'envoi (ATF 136 V 295 consid. 5.9 p. 309 et les références citées ; arrêt du Tribunal fédéral 6B_471/2014 du 18 novembre 2014 consid. 1.3).</w:t>
      </w:r>
    </w:p>
    <w:p>
      <w:r>
        <w:rPr>
          <w:b/>
        </w:rPr>
        <w:t>E. 2.3</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La question de la restitution du délai d'opposition contre une ordonnance pénale ne se pose que si l'intéressé a été empêché de l'observer. Cela présuppose que le délai d'opposition a expiré avant que l'opposition ne soit formée. Cela présuppose à son tour que l'ordonnance ait été valablement notifiée ou réputée notifiée (art. 85 al. 4 CPP). La question de savoir si la notification était valable ne peut être tranchée par le ministère public à titre préalable dans le cadre de la procédure de restitution de délai prévue par l'art. 94 CPP. Elle doit l'être par le tribunal de première instance dans le cadre de la procédure d'opposition prévue par l'art. 356 al. 2 CPP (arrêts du Tribunal fédéral 6B_1118/2015 du 30 juin 2016 consid. 1.1 ; 6B_175/2016 du 2 mai 2016 consid. 2 et les références citées destiné à la publication).</w:t>
      </w:r>
    </w:p>
    <w:p>
      <w:r>
        <w:rPr>
          <w:b/>
        </w:rPr>
        <w:t>E. 2.4</w:t>
      </w:r>
    </w:p>
    <w:p>
      <w:r>
        <w:t>En l'espèce, le demandeur n'a pas allégué avoir été empêché d'aller retirer le pli recommandé adressé à son domicile et contenant l'ordonnance pénale du MP du 16 août 2016. Cette décision, retournée à l'expéditeur avec la mention " non réclamé ", lui a ainsi été valablement notifiée. Faute d'avoir été frappée d'opposition dans le délai de dix jours de l'art. 354 al. 1 CPP, elle est entrée en force de chose jugée (art. 354 al. 3 CPP). Les conditions d'une restitution de délai au sens de l'art. 94 al. 1 CPP ne sont pas réalisées. La voie de l'opposition n'est donc plus ouverte. La demande de révision apparaît par conséquent comme le seul moyen de remédier à la situation ainsi créée.</w:t>
      </w:r>
    </w:p>
    <w:p>
      <w:r>
        <w:rPr>
          <w:b/>
        </w:rPr>
        <w:t>E. 2.5</w:t>
      </w:r>
    </w:p>
    <w:p>
      <w:r>
        <w:t>Sur le fond, le demandeur a produit la preuve de ce qu'il était en droit de conduire des véhicules de la catégorie A1 depuis 1987, ce qu'ignorait le MP au moment de rendre l'ordonnance dont la révision est sollicitée. Il n'a donc pas commis l'infraction à l'art. 95 al. 1 let. a LCR retenue contre lui. Enfin, au vu des faits exposés ci-dessus, le comportement du demandeur n'est pas constitutif d'abus de droit. En effet, la police a retenu l'absence d'autorisation de conduire sur la base d'un document français, dont la validité n'a pas été mise en cause, mais qui semblait insuffisamment précis en Suisse, ne mentionnant pas les sous-catégories A. Dans ses observations, le MP a conclu à l'admission de la demande sur ce point.</w:t>
      </w:r>
    </w:p>
    <w:p>
      <w:r>
        <w:rPr>
          <w:b/>
        </w:rPr>
        <w:t>E. 2.5.1</w:t>
      </w:r>
    </w:p>
    <w:p>
      <w:r>
        <w:t>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Petit commentaire du CPP , Helbing Lichtenhahn éd., Bâle 2013, note 1 ad art. 413 CPP et les références citées).</w:t>
      </w:r>
    </w:p>
    <w:p>
      <w:r>
        <w:rPr>
          <w:b/>
        </w:rPr>
        <w:t>E. 2.5.2</w:t>
      </w:r>
    </w:p>
    <w:p>
      <w:r>
        <w:t>Les éléments nouveaux invoqués par le demandeur sont sérieux, soit propres à ébranler les constatations de fait sur lesquelles le MP s'est fondé, et de nature à entraîner la modification de la décision querellée en sa faveur, de sorte que la demande de révision doit être admise.</w:t>
      </w:r>
    </w:p>
    <w:p>
      <w:r>
        <w:rPr>
          <w:b/>
        </w:rPr>
        <w:t>E. 3</w:t>
      </w:r>
    </w:p>
    <w:p>
      <w:r>
        <w:t>3.1. 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 L'art. 413 al. 2 let. a CPP vise le cas où la demande est fondée mais que l'état du dossier ne permet pas à la juridiction d'appel de rendre immédiatement une nouvelle décision (L. MOREILLON / A. PAREIN-REYMOND, op. cit. , note 8 ad art. 413 CPP).</w:t>
      </w:r>
    </w:p>
    <w:p>
      <w:r>
        <w:rPr>
          <w:b/>
        </w:rPr>
        <w:t>E. 3.2</w:t>
      </w:r>
    </w:p>
    <w:p>
      <w:r>
        <w:t>Vu l'admission de la demande, l'ordonnance pénale querellée sera annulée, son inscription au casier judiciaire radiée et la CPAR rendra une nouvelle décision portant sur la contravention à l'art. 90 al. 1 LCR, reconnue par le demandeur.</w:t>
      </w:r>
    </w:p>
    <w:p>
      <w:r>
        <w:rPr>
          <w:b/>
        </w:rPr>
        <w:t>E. 4</w:t>
      </w:r>
    </w:p>
    <w:p>
      <w:r>
        <w:t>Au vu de ce qui précède, les frais de la procédure pénale et ceux de la procédure de révision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