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P/11909/2014 vom 16. November 2016</w:t>
      </w:r>
    </w:p>
    <w:p>
      <w:r>
        <w:t>GE Cour de justice, 2016-11-16, FR</w:t>
      </w:r>
    </w:p>
    <w:p>
      <w:r>
        <w:rPr>
          <w:b/>
        </w:rPr>
        <w:t xml:space="preserve">Quelle: </w:t>
      </w:r>
      <w:r>
        <w:t>https://mcp.opencaselaw.ch/entscheid/ge_gerichte_P_11909_2014</w:t>
      </w:r>
    </w:p>
    <w:p>
      <w:r>
        <w:t>FR: GE_GERICHTE P/11909/2014 du 16 novembre 2016</w:t>
      </w:r>
    </w:p>
    <w:p>
      <w:r>
        <w:t>IT: GE_GERICHTE P/11909/2014 del 16 novembre 2016</w:t>
      </w:r>
    </w:p>
    <w:p>
      <w:pPr>
        <w:pStyle w:val="Heading2"/>
      </w:pPr>
      <w:r>
        <w:t>Regeste</w:t>
      </w:r>
    </w:p>
    <w:p>
      <w:r>
        <w:t>IN DUBIO PRO REO ; ASSASSINAT ; ABSENCE DE SCRUPULES ; CARACTÈRE ODIEUX ; COMPORTEMENT ; MEURTRE PASSIONNEL ; FIXATION DE LA PEINE ; RESPONSABILITÉ RESTREINTE(DROIT PÉNAL) ; DÉTRESSE PROFONDE ; TORT MORAL ; PERSONNE PROCHE | CP112; CP113; CP48.a; CP47; CO49</w:t>
      </w:r>
    </w:p>
    <w:p>
      <w:pPr>
        <w:pStyle w:val="Heading2"/>
      </w:pPr>
      <w:r>
        <w:t>Erwägungen</w:t>
      </w:r>
    </w:p>
    <w:p>
      <w:r>
        <w:rPr>
          <w:b/>
        </w:rPr>
        <w:t>E. 1.1</w:t>
      </w:r>
    </w:p>
    <w:p>
      <w:r>
        <w:t>L'appel est recevable pour avoir été interjeté et motivé selon la forme et dans les délais prescrits (art. 398 et 399 CPP).![endif]&gt;![if&gt; Il en est de même de l'appel joint (art. 400 al. 3 let b et 401 al. 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L’art. 111 CP réprime le comportement de celui qui aura intentionnellement tué une personne. Sur le plan subjectif, l'auteur doit avoir l'intention de causer par le comportement typique – soit la mort d'autrui (M. DUPUIS / B. GELLER / G. MONNIER / L. MOREILLON / C. PIGUET / C. BETTEX / D. STOLL [éds], Code pénal - Petit commentaire , Bâle 2012, n. 18 ad art. 111). Le dessein de commettre une infraction, ou dol direct du premier degré, est donné lorsque l’auteur veut la réalisation de l’infraction en tant que but de son action, ou lorsque l’infraction lui apparaît comme une condition nécessaire pour son but, l’infraction étant dans ce cas, le moyen d’atteindre le but recherché (R. ROTH / L. MOREILLON [éds], op. cit. , n. 57 et 58 ad art. 12). Pour admettre le dessein, il est nécessaire et suffisant d'établir que l'auteur a consciemment agi en vue de réaliser l'état de fait incriminé (M. NIGGLI / H. WIPRÄCHTIGER, Basler Kommentar Strafrecht I : Art. 1-110 StGB, Jugendstrafgesetz , 3 e éd., Bâle 2013, n. 41 ad art. 41 ; P. GRAVEN, L'infraction pénale punissable , 2e éd., Berne 1995, p. 200 n° 152). 2.2.2.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cet énoncé n'étant toutefois pas exhaustif. Le Tribunal fédéral a ainsi retenu que la façon d'agir démontrait l'absence particulière de scrupules dans le cas d'un prévenu ayant asséné six coups de couteau à son épouse, dont le son seul tort était de vouloir le quitter, ne s'arrêtant qu'une fois celle-ci effondrée, puis s'en était allé en prenant le risque que les enfants découvrent le corps de leur mère (arrêt du Tribunal fédéral 6S.357/2004 du 20 octobre 2004 consid 2.2). Le meurtrier qui s'acharne sur sa victime, par exemple en la criblant de balle ou en lui assénant de nombreux coups de couteau, se comporte à la manière d'un assassin (arrêt du Tribunal fédéral 6B_355/2015 du 22 février 2016 consid. 1.6.2 et les références citées).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L'auteur est animé par des mobiles particulièrement odieux lorsqu'il tue, par exemple, pour obtenir une rémunération ou pour voler sa victime (ATF 127 IV 10 consid. 1a p. 14 ; 118 IV 122 consid. 2b p. 125 ; 115 IV 187 consid. 2 p. 188) ou encore sans motif apparent voire pour une broutille (ATF 141 IV 61 consid. 4.2). Son but est particulièrement odieux notamment lorsqu'il agit pour éliminer un témoin gênant ou une personne qui l'entrave dans la commission d'une infraction (B. CORBOZ, Les infractions en droit suisse , vol. II, 3 e éd., Berne 2010, n. 9 s. ad art. 112 CP).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du 27 février 2014 consid. 4.1).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141 IV 61 consid. 4.1 p. 65 ; 127 IV 10 consid. 1a p. 13 ; 120 IV 265 consid. 3a p. 274 ; 118 IV 122 consid. 2b p.125 s. ; 117 IV 369 consid. 17 p. 389 s. et les références citées). Il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arrêts du Tribunal fédéral 6B_596/2014 du 23 décembre 2014 consid. 1.2 et 6B_1066/2013 précités). Il faut en revanche retenir l'assassinat lorsqu'il ressort des circonstances de l'acte que son auteur fait preuve du mépris le plus complet pour la vie d'autrui (ATF 141 IV 61 consid. 4.1 p. 65 ; 120 IV 265 consid. 3a p. 274 ; 118 IV 122 consid. 2b p. 126 ; cf. également ATF 117 IV 369 consid. 19b p. 394). La préméditation, qui a disparu du texte de l'art. 112 CP, n'est pas une condition de l'assassinat. Le Tribunal fédéral a cependant précisé que la préméditation, au sens d'une planification froide de l'acte, peut constituer un indice de l'absence particulière de scrupules de l'auteur (arrêt du Tribunal fédéral 6B_23/2012 du 1 er novembre 2012 consid. 4.4 ; M. DUPUIS et al. , op. cit. , n. 23 ad art. 112 et références citées).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Pour déterminer si l'on se trouve en présence d'un assassinat, il faut procéder à une appréciation d'ensemble des circonstances externes (comportement, manière d'agir de l'auteur) et internes de l'acte (mobile, but, etc.) (arrêt du Tribunal fédéral 6B_355/2015 précité). Les antécédents ou le comportement que l'auteur adopte immédiatement après les faits n'entrent en ligne de compte que dans la mesure où ils y sont étroitement liés, et permettent de caractériser la personnalité de l'auteur (ATF 141 IV 61 consid. 4.1 p. 64 ; 127 IV 10 consid. 1a p. 14 ; arrêts du Tribunal fédéral 6B_596/2014 et 6B_1066/2013 précités). 2.2.3. La définition de l'assassinat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étant antinomiques (arrêt du Tribunal fédéral 6B_158/2009 du 1 er mai 2009 consid. 1.1 ; M. DUPUIS et al. , op. cit. , n. 31 ad art. 112 ; B. CORBOZ, op cit. n. 30 p. 49 et les références citées). 2.2.4. 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118 IV 233 consid. 2a p. 236 ; arrêt du Tribunal fédéral 6S.310/2006 du 29 novembre 2006 consid. 3 et les références citées). L'émotion violente suppose que l'auteur réagisse de façon plus ou moins immédiate à un sentiment soudain qu'il ne parvient pas à dominer. Le profond désarroi est un état émotionnel qui mûrit progressivement, qui couve pendant longtemps, jusqu'à ce que l'auteur soit complètement désespéré et ne voie d'autre issue que l'homicide (FF 1985 II 1035 s. ; ATF 119 IV 202 consid. 2a p. 203 ; 118 IV 233 consid. 2a p. 235 s.).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(ATF 119 IV 202 consid. 2a p. 203 s.). Pour admettre le meurtre passionnel, il ne suffit pas de constater que l'auteur était en proie à une émotion violente ou se trouvait dans un profond désarroi. Il faut encore que son état ait été rendu excusable par les circonstances (ATF 119 IV 202 consid. 2a p. 203 s.; 118 IV 233 consid. 2a p. 235 s.) ; ce n'est pas l'acte commis qui doit être excusable.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(ATF 119 IV 202 consid. 2a p. 204 s. et les références citées).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(ATF 82 IV 86 consid. 1 p. 88). Pour savoir si le caractère excusable d'un profond désarroi ou d'une émotion violente peut être retenu, il faut procéder à une appréciation objective des causes de ces états et déterminer si un être humain raisonnable, de la même condition que l'auteur et placé dans une situation identique, se trouverait facilement dans un tel état (ATF 107 IV 105 consid. 2b/bb p. 106).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(arrêts du Tribunal fédéral 6B_719/2009 du 3 décembre 2009 consid. 1.3 et 6B_158/2009 du 1er mai 2009 consid. 2, avec référence aux ATF 108 IV 99 consid. 3b p. 102 et 107 IV 105 consid. 2b/bb p. 106). 2.3.1. Il est établi, et non contesté, que l'appelant est arrivé à Genève le 12 juin 2014 dans la soirée à l'hôtel ______. On le voit, le 13 juin 2014, sur les images de vidéosurveillance de l'hôtel, quitter les lieux à 22h56, muni de sa sacoche claire, puis à 22h58 sur des images issues d'une caméra filmant la rue cheminer main dans la main avec son fils en direction du domicile de la victime. Cette dernière lui avait, par un SMS envoyé à 21h47, qu'il a prétendu n'avoir lu qu'au moment de quitter la chambre d'hôtel, demandé de ramener C______ avant la fin du second match télévisé de la soirée, dans la mesure où sa sœur refusait de s'endormir en son absence. A leur arrivée devant l'immeuble, l'appelant a sonné à l'interphone et la victime est descendue dans l'entrée de l'immeuble, ce qu'elle ne faisait pas usuellement, restant au contraire dans son l'appartement alors que l'appelant laissait les enfants devant l'immeuble. L'enfant est entré dans l'appartement se situant au rez supérieur. Aux dires de C______, son père voulait parler avec sa mère, ce qui expliquerait qu'elle se soit rendue dans le hall. L'appelant a reconnu avoir engagé une discussion avec son ex-épouse, au cours de laquelle elle aurait évoqué un départ au AQ______ avec les enfants. L'entourage de la victime s'accorde à dire qu'il était effectivement question que les deux enfants se rendent au AQ______ chez leur grand-mère paternelle, pour un mois, en juillet 2014. La victime craignait la réaction de l'appelant en l'apprenant, ce dont elle s'était ouverte à plusieurs personnes. L'appelant a décrit la mère de ses enfants, durant cette discussion, comme " très irritée et déterminée, haussant le ton, sans toutefois crier ni hurler ", pour dire devant la CPAR qu'elle était " très frontale et dans l'attaque ". Elle lui avait aussi dit que du fait de son retard, il ne pourrait pas exercer son droit de visite le reste du week-end, lui faisant encore d'autres reproches. L'appelant prétend ne plus se souvenir de la suite des faits, jusqu'à rependre connaissance en présence des gendarmes. En ce qui concerne l'imputabilité de l'homicide à l'appelant, le fait de dire qu'il ne se souvient pas avoir tué son ex-épouse, oblige la CPAR à l'examen des éléments pertinents pour trancher cette question. 2.3.2. Il sera premièrement relevé sa présence sur place, constatée en premier lieu par deux témoins quelques minutes après la seconde série de tirs, sur le palier de l'appartement de la mère de ses enfants, sa sacoche posée à ses côtés contenant son arme. C'est précisément cette arme, après comparaison de tirs effectués avec ladite arme et les 10 douilles retrouvées sur place, qui a tiré les projectiles ayant tué la victime. Il est également établi que les munitions utilisées sont celles de l'appelant, les 16 cartouches trouvées sur les lieux, tirées ou pas, complétée par les quatre cartouches retrouvées dans le coffre de sa chambre d'hôtel, constituant l'intégralité de la boîte de 20 cartouches à tête creuse retrouvées dans ce même coffre. L'appelant présentait sur l'ensemble de ses habits des résidus de tir. Le sang de la victime a été retrouvé sur ses pantalons et ses chaussures. La victime a été découverte à l'endroit où tous deux discutaient précédemment. Le fait qu'aucunes traces de sang ou d'ADN de la victime n'aient été retrouvées sur le pull ou les mains du prévenu, alors que des rétroprojections avec ADN de la victime sont retrouvées sur la queue de la gâchette de l'arme et que les coups aient été tirés à faible distance, pas plus que le fait qu'il ait été retrouvé moins de résidus de tir sur les mains du prévenu que sur celles de la victime ne suffisent à renverser le poids des éléments à charge. En effet, les inspecteurs de la BPTS, dont l'expérience n'est pas contestée ni contestable, ont expliqué qu'il était fréquent que les victimes, se retrouvant dans le nuage de poudre, présentent d'avantage de résidus de tir que le tireur. Tant ces mêmes inspecteurs que l'un des médecins légistes ont expliqué que la question de la distance sur laquelle on pouvait retrouver des rétroprojections était différente de celle de la direction que pouvaient prendre ces rétroprojections, de sorte qu'il était parfaitement possible que le tireur, même à bout touchant ou portant, ne présente pas de traces sur les mains ou sur le pull. Ces points ont pu être discutés avec ces intervenants de manière contradictoire lors de l'audience de première instance et la CPAR ne voit pas de raisons de s'écarter de ces constatations. Face à un tel tableau, l'amnésie de l'appelant, réelle ou feinte, ne lui est d'aucun secours, étant au demeurant rappelé que selon les experts, une amnésie massive est peu probable chez un simple spectateur. Si cette amnésie a été la conséquence d'une crise de panique, une telle crise n'a pu survenir qu'après l'homicide, les experts ayant relevé que le déroulement des faits, en particulier la précision dans l'accomplissement des actes, était incompatible avec une crise de panique au moment d'agir. Les thèses d'un tiers intervenant ou d'un suicide, que l'appelant ne soutient plus en appel, s'avèrent dans ces circonstances parfaitement insoutenables, au vu de l'échafaudage d'hypothèses sur lesquelles la première reposerait, comme justement relevé par les premiers juges, et de l'impossibilité de la seconde, ne serait-ce que dans une configuration où six tirs ont succédé au premier qui était déjà mortel à dires d'experts. Il existe dès lors un faisceau d'indices convergents amenant la CPAR à la conviction que l'appelant est bien l'auteur de l'homicide de G______ de sorte que le jugement de première instance sera confirmé sur ce point. 2.4.1. L'appelant a agi avec préméditation, dans le sens d'une planification froide de l'acte, préméditation qui pour rappel, selon la jurisprudence, peut constituer l'indice d'une absence particulière de scrupules de l'auteur. Cette préméditation trouve pour premier acte l'acquisition de l'arme du crime, le 21 février 2014 - à teneur de la facture -, soit moins de quatre mois avant les faits, l'appelant ayant menti sur ce point en prétendant l'avoir achetée environ neuf mois plus tôt, mais surtout moins d'un mois après l'Arrêt de la Chambre civile de la Cour de justice du 24 janvier 2014 ayant notamment réduit son droit de visite sur ses deux enfants d'un week-end sur deux à un week-end par mois. Les raisons avancées par l'appelant pour cet achat, alors fort conséquent au vu de ses faibles revenus, pas plus que celles de son stockage dans la maison de ses parents en Autriche, où il ne se rendait que quelques fois par année, vivant à Bonn, ne convainquent pas la CPAR. Si les parents de l'appelant ont eu à souffrir de cambriolages par le passé, le dernier remontait selon leurs dires à 2010. Ces derniers ont, les années qui ont suivi, vécu dans une maison équipée d'un système alarme relié au téléphone de leur second fils, vivant à quelques kilomètres de là. Il ne faisait ainsi aucun sens que l'appelant acquière une arme pour leurs besoins de sécurité, pas plus au demeurant que pour sa propre sécurité et celle des enfants pour les rares fois où ils étaient à Vienne, quand bien même il en aurait éprouvé un sentiment de protection selon ses parents. Le fait que les parents de l'appelant aient de leur côté également suivi des cours pour détenteurs d'armes ne modifie pas cette appréciation, étant relevé qu'ils n'ont pu donner aucun détail sur la manière dont ils agiraient effectivement avec cette arme pour le cas où ils seraient confrontés à un cambrioleur. Le fait que l'appelant n'informe pas sa mère, lors de ses échanges par SKYPE, dont le dernier du 13 juin 2014 a duré neuf minutes, quant à la présence de l'arme à Genève démontre encore le peu d'utilité qu'elle revêtait à ses yeux pour la sécurité de ses parents. Il ne tient ensuite assurément pas au seul hasard du calendrier et des exigences liées au port du permis d'armes que l'appelant ait effectué deux séances de tirs quelques jours avant les faits, les 10 et 11 juin 2014, à l'exclusion de tout autre exercice, au-delà de la formation du détenteur d'arme, aux dires de son père et de sa mère. Cette absence d'exercices de tir est corroborée par les éléments donnés par l'armurerie de Vienne : l'appelant n'a acquis que 20 balles en même temps que l'arme - probablement à tête creuse et correspondant à la boîte retrouvée dans le coffre de la chambre d'hôtel -, puis deux fois 100 munitions supplémentaires, les 10 puis 11 juin 2014 - probablement des boîtes de 50 à tête blindée telles que retrouvées dans le coffre de ses parents à Vienne (une boîte de 50) et dans le coffre de l'hôtel (une seconde boîte de 50), ce qui permet de chiffrer à 100 le nombre de tirs effectués au stand en juin 2014. Le besoin de contrôle chez le prévenu, tel que décrit par les experts, son sens de l'organisation, en particulier dans la planification de ses voyages à Genève ou encore les consignes strictes données au détenteur d'armes portant notamment sur la manière de les transporter, entrent ensuite en contradiction avec un transport non volontaire de l'arme, de Vienne à Genève le 12 juin 2014. L'impatience de voir ses enfants à l'occasion d'exercices de droit de visite qu'il trouvait trop rares, de sorte que la CPAR imagine difficilement qu'il y aurait renoncé la fin de semaine du 12 juin 2014, où il avait réservé une chambre d'hôtel, met à mal son argumentation d'avoir effectué ce dernier voyage en train, dans la mesure où il ne savait pas pour quel laps de temps il pouvait être retenu à Vienne pour des analyses médicales. Il ressort en effet de la procédure que durant le premier semestre 2014, il n'a fait le voyage qu'en avion. Le faire en train le 12 juin 2014 l'affranchissait d'un passage au détecteur de métal. La CPAR ne saurait suivre l'appelant lorsqu'il prétend avoir rangé, par inadvertance, à son retour du stand de tir, dans le coffre-fort chez ses parents le coffret sans le pistolet, dont il est établi qu'il pouvait contenir, outre l'arme, son matériel de nettoyage. Il est de plus difficile de concevoir que l'appelant ne se serait pas rendu compte, avant son arrivée à l'hôtel à Genève, de la présence de l'arme et des munitions, pourtant enveloppées dans un sac en tissu, ce qui représente un certain volume et poids, dans la sacoche de son ordinateur, ce d'autant plus qu'il y avait, selon ses dires, placé, avant de les prendre durant le voyage, son ordinateur et ses articles. Quand bien même l'arme et les munitions se seraient trouvées dans une autre poche que les effets utilisés durant son voyage, il est pour le moins surprenant que l'appelant n'aurait pas subitement réalisé qu'il avait oublié dans ce sac l'arme, tant il n'était pas habituel qu'il l'y laisse. Ensuite, les explications données par l'appelant quant aux dispositions prises une fois l'arme découverte à Genève laissent pour le moins perplexe. Si comme il le prétend, et ce qui est au demeurant notoire, l'arme chargée représentait un réel danger, tel était, dans une moindre mesure, le cas non chargée. Or il concède s'être constamment déplacé avec cette arme chargée dans la sacoche qu'il portait en bandoulière, comme on le voit dans tous ses déplacements filmés à l'hôtel, hormis pour aller prendre son petit-déjeuner le 13 juin 2014. Si son souci était bien la sécurité d'autrui, dont celle de son fils, et non le dessein de l'utiliser, la logique eût voulu qu'il conservât le J______ 2______ sur lui déchargé et laisse dans le coffre-fort de l'hôtel l'intégralité des munitions et pas seulement celles qui s'y trouvaient au moment de la perquisition. La thèse de l'appelant d'avoir systématiquement placé l'arme dans le coffre quand il était dans sa chambre d'hôtel, respectivement prise avec lui lors de ses sorties est pour le surplus mise à mal par les heures d'ouverture et de fermeture du coffre dans la soirée du 13 juin 2016, lesquelles excluent qu'il ait repris l'arme dans ce coffre juste avant son départ pour ramener son fils chez sa mère, la dernière ouverture intervenant en effet à 22h00, soit pratiquement une heure avant que l'on ne les voie tous deux quitter l'hôtel. Enfin, si ce n'était pour en faire usage, la CPAR ne discerne pas pour quelle autre raison l'appelant s'en serait muni pour ramener l'enfant à sa mère, chargée de balles à tête creuse, connues pour leurs dégâts sur les tissus humains, ayant uniquement à faire deux rapides manipulations, soit reculer le magasin et appuyer sur la détente, pour que sorte la première balle. Il n'est pas anodin et il ne tient assurément pas au hasard qu'il n'ait été retrouvé que des balles à tête blindée dans le coffre chez les parents de l'appelant, qu'il s'en soit trouvé également dans le coffre de l'hôtel et que le prévenu ait introduit des balles à tête creuse dans son arme, laissant le solde dans le coffre de l'hôtel. Autrement dit, il n'y avait de balles à tête creuse qu'à Genève, notamment dans l'arme au moment des tirs, ce qui là aussi n'est pas dû au hasard. L'appelant a lui-même reconnu durant la procédure avoir fait l'achat de balles à tête creuse et à tête blindée, les premières "pour la maison" et les secondes pour les exercices au stand vu leur moindre coût. Il ne convainc pas en prétendant qu'il ne savait pas quelle était la différence entre ces deux types de balles. Sur la base de tous ces éléments, la CAPR a acquis la conviction que, l'appelant a tendu un guet-apens à sa future victime en la faisant descendre dans le hall sous prétexte d'une discussion, avant de l'exécuter froidement, aucuns cris évocateurs de dispute, ni traces de lésions de défense n'ayant été constatés. Ces circonstances permettent de retenir que l'appelant concevait depuis l'acquisition de son arme en février 2014 de s'en servir contre son ex-épouse. Comme relevé à juste titre par les premiers juges, cette planification n'est pas incompatible avec un possible élément déclencheur lui ayant donné le courage du passage à l'acte, tel l'irritabilité de la victime due à son retard en ramenant C______ ou l'annonce du départ des enfants pour le AQ______, étant rappelé qu'il avait à son arrivée dans l'immeuble pour intention de discuter avec la victime et qu'il découle de la procédure que tous deux ne parvenaient pas à le faire sereinement depuis des années. 2.4.2. La CPAR retient que l'appelant a tué son épouse, dont il n'avait pas à souffrir plus qu'un autre des suites d'un divorce, aussi conflictuelles et difficiles qu'aient pu être leur vie de couple et leur séparation, remontant toutefois à plusieurs années au moment des faits, au motif que celle-ci, dans sa perception de la situation, l'entravait dans ses relations avec ses enfants. Il a préféré supprimer la mère de ces derniers, plutôt que de supporter un droit de visite qui ne lui convenait pas. Il a donc agi par pur égoïsme, sans aucune considération pour la vie d'autrui, comprenant aussi celle de ses enfants désormais privés de mère. 2.4.3. Il s'est muni d'une arme, a tiré en deux phases - selon les témoignages et traces retrouvées sur place -, soit un projectile pratiquement à bout touchant contre la racine du nez de la victime, autrement dit entre ses deux yeux, et un projectile à très faible distance, alors qu'elle était encore debout, un seul d'entre eux ayant déjà provoqué sa mort. Une fois au sol et alors que la victime devait déjà baigner dans son sang, il a tiré cinq autres projectiles à bout portant, visant le côté gauche de son visage, à l'exception de toute autre partie du corps, dénotant son extrême froideur dans l'exécution de sa victime. Ce faisant, il s'est acharné sur cette dernière, alors qu'elle gisait à terre, criblant sa tête de balles. Il a pour ce faire munitionné son arme de balles à tête creuse dont il savait qu'elles étaient hautement dommageables, ce que les dégâts causés à la tête de la victime démontrent. Il a agi de la sorte alors que ses deux enfants se trouvaient à quelques mètres de là, dans leur chambre, soit un lieu où ils devaient se sentir en toute sécurité et alors que C______ n'était pas endormi, ce que son père savait puisqu'il venait de le ramener chez lui, et a entendu les détonations. L'appelant a pris le risque que l'un d'eux, alerté par les détonations, sorte de l'appartement et découvre sa mère dans l'état dont la vue est insoutenable à teneur des photos versées à la procédure, étant rappelé que pour leur éviter cet atroce spectacle, la police a dû sortir les enfants par l'une des fenêtres de l'appartement. L'appelant a ainsi agi de façon particulièrement odieuse, commettant un acte sauvage auquel il a indirectement mêlé ses enfants. 2.4.4. Son comportement après l'homicide, mais en lien avec lui, conforte cette appréciation : il a en particulier rangé dans sa sacoche l'arme, ainsi qu'une cartouche et une douille, a grimpé la volée d'escaliers menant sur le seuil de l'appartement de son ex-épouse, où se trouvaient les enfants et où il a été découvert allongé, dénotant d'une maîtrise de soi après les faits. Il s'est tout du long de la procédure comporté en victime, sans égards pour son ex-femme, ni le bien-être de ses enfants qui un jour pourraient être amenés à prendre connaissance de la procédure. 2.4.5. L'ensemble de ces circonstances amène à qualifier d'assassinat les faits commis le 13 juin 2014, de sorte que le verdict de première instance sera confirmé sur ce point.</w:t>
      </w:r>
    </w:p>
    <w:p>
      <w:r>
        <w:rPr>
          <w:b/>
        </w:rPr>
        <w:t>E. 2.5</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d'une heure et 30 minutes pour les avocats et une heure pour les avocats-stagiaires, ce qui comprend le temps de déplacement. 7.2.6.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7.2.7. Les entretiens avec la famille du prévenu ne sont en principe pas indemnisés par l'assistance juridique, ne relevant pas de la défense ( AARP/295/2015 du 12 juillet 2015 consid. 8.1.4.4 et 8.2.2.2 confirmé sur ce point par la décision de la Cour des plaintes du Tribunal pénal fédéral BB.2015.85 du 12 avril 2016 consid. 3.4 ; AARP/500/2013 du 28 octobre 2013). 7.2.8. En l'absence d'une décision autorisant exceptionnellement la désignation de deux défenseurs d'office ou conseils juridiques gratuits, les contacts de l'avocat désigné avec un second avocat, qui doit alors être qualifié de défenseur privé, ne sont pas couverts par l'assistance juridique ( AARP/295/2015 du 12 juillet 2015 consid. 8.2.2.1). 7.2.9.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2.6</w:t>
      </w:r>
    </w:p>
    <w:p>
      <w:r>
        <w:t>Quand bien même la situation demeurait conflictuelle autour des enfants depuis plusieurs années, que la victime aurait pu être irritée par le fait que son ex-mari ne lui ramène l'enfant C______ que plus d'une heure après son SMS l'invitant à le faire ou encore qu'elle lui aurait annoncé le départ de C______ et D______ pour le AQ______, l'on ne saurait admettre que l'appelant se soit trouvé dans un état de désarroi tel qu'il soit totalement désespéré et ne voie d'autre issue que l'homicide. Il est rappelé qu'il y a lieu de déterminer si une personne raisonnable, placée dans les mêmes circonstances, aurait pu se trouver facilement dans un tel état, des traits de caractère particuliers comme une jalousie maladive ou une irritabilité marquée ne pouvant être pris en compte à ce stade. Or, l'appelant pouvait trouver d'autres solutions à son conflit familial, notamment dans l'intérêt de ses deux enfants. Le fait qu'il se serait trouvé en proie à une émotion violente entre en contradiction avec les éléments de préméditation, mentionnés précédemment, en particulier le fait de s'être présenté dans l'immeuble de son ex-épouse et au contact de cette dernière avec une arme chargée, l'existence d'une altercation verbale ou physique entre les ex-époux n'étant par ailleurs pas établie.</w:t>
      </w:r>
    </w:p>
    <w:p>
      <w:r>
        <w:rPr>
          <w:b/>
        </w:rPr>
        <w:t>E. 2.10</w:t>
      </w:r>
    </w:p>
    <w:p>
      <w:r>
        <w:t>Les frais de traduction d'un document important peuvent être remboursés (ordonnance de la Cour des plaintes du Tribunal pénal fédéral BB.2013.185 du 30 décembre 2013 consid. 3 ; AARP/325/2015 du 20 juillet 2015). 7.3.1. En l'occurrence, en application de ces principes, il convient de retrancher de l'état de frais de M e B______, défenseur d'office de A______ : ·         9h30 correspondant aux entretiens entre M e B______ et M e AP______, respectivement avec les parents de l'appelant, de même qu'une conférence sans autre précision le 4 novembre 2016, non pris en charge par l'assistance juridique ;![endif]&gt;![if&gt; ·         6h correspondant à une visite à la prison en octobre 2016 et trois en novembre 2016, excédant la visite mensuelle admise ; ![endif]&gt;![if&gt; Seront ainsi indemnisées pour la rubrique "conférence" 9h30 à CHF 200.-. Pour le surplus, le temps consacré, sous la rubrique "procédure" à des recherches juridiques (non indemnisées), à la déclaration d'appel (usuellement non indemnisée sauf réquisitions de preuve demandant un développement spécial ce qui a été le cas en l'espèce dans une petite mesure) à la consultation du dossier, à une réponse aux observations du Ministère public le 24 août 2016, non nécessaire en procédure orale, à la préparation d'un bordereau de pièces incluant leur traduction dont la pertinence était limitée pour trancher l'appel, à des Mpuc (qui ne concernent pas la procédure pénale) et à la préparation de l’audience étant excessif, il sera ramené à la durée globale de 25h, dans un dossier bien connu du défenseur d'office chargé de la défense de l'appelant depuis son arrestation et n'ayant connu aucun développement, si ce n'est une modification de la stratégie de défense depuis la première instance. Dans la mesure où M e B______ a assisté aux débats, mais qu'un collaborateur a œuvré également pour bonne part à ses côtés préalablement, la CPAR retiendra le ratio de 17h au tarif d'associé et de 8h à celui de collaborateur pour l'ensemble de cette rubrique "Procédure". S'y ajoutera la durée de l'audience de 10h30. 7.3.2. En conclusion, l'indemnité sera arrêtée à CHF 9'979.20 correspondant à 37h d'activité au tarif de CHF 200.- (CHF 7'400.-), 8h à celui de CHF 125.- (CHF 1'000.- ), plus la majoration forfaitaire de 10% (CHF 840.-) et l'équivalent de la TVA au taux de 8% en CHF 739.20.-.</w:t>
      </w:r>
    </w:p>
    <w:p>
      <w:r>
        <w:rPr>
          <w:b/>
        </w:rPr>
        <w:t>E. 3</w:t>
      </w:r>
    </w:p>
    <w:p>
      <w:r>
        <w:t>3.1.1. En application de l'art. 112 CP, l'auteur d'un assassinat est passible d'une peine privative de liberté à vie ou de dix ans au moins.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136 IV 55 consid. 5 p. 57 s. ; 134 IV 17 consid. 2.1 p. 19 s. ; 129 IV 6 consid. 6.1 p. 20 s. ; arrêt du Tribunal fédéral 6B_28/2016 du 10 octobre 2016 consid. 5.1). 3.1.3.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p. 17 et les références citées). En revanche, le juge peut tenir compte dans la fixation de la peine de l'intensité de cette circonstance (ATF 120 IV 67 consid. 2b p. 71 s.; 118 IV 342 consid. 2b p. 347 s.). En effet, le juge fixe la peine en fonction de la gravité de la faute qui doit être évaluée au regard des circonstances de l'infraction et de la personne de l'auteur (arrêt du Tribunal fédéral 6B_28/2016 précité consid. 5.1). La motivation doit ainsi mettre en évidence la mesure particulière dans laquelle ces circonstances sont réalisées dans le cas concret et en quoi elles influencent la quotité de la sanction (ATF 141 IV 61 consid. 6.1.3 p. 68 ; cf. art. 50 CP). Par exemple, que l'égoïsme de l'auteur d'un assassinat soit par définition très important ne signifie pas encore qu'il atteint exactement la même intensité chez tous les auteurs, étant rappelé que la qualification d'assassinat découle d'une appréciation d'ensemble des circonstances, qui varient nécessairement d'un cas à l'autre (arrêt du Tribunal fédéral 6B_1197/2015 du 1 er juillet 2016 consid. 3.4.1 et 3.4.2). 3.1.4.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En présence d'une infraction poursuivie sur plainte, l'art. 52 CP doit être appliqué avec retenue et seulement en présence de cas bagatelle absolus (N. SCHMID, Schweizerische Strafprozessordnung : Praxiskommentar , 2e éd., Zurich 2013, n. 4 ad art. 8). 3.1.5. Le juge atténue la peine si, au moment d'agir, l'auteur ne possédait que partiellement la faculté d'apprécier le caractère illicite de son acte ou de se déterminer d'après cette appréciation (art. 19 al. 2 CP). Le juge ordonne une expertise s'il existe une raison sérieuse de douter de la responsabilité de l'auteur (art. 20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(ATF 136 IV 55 consid. 5.5 ; arrêts du Tribunal fédéral 6B_284/2012 du 29 octobre 2012 consid. 4.1.6, 6B_77/2012 du 18 juin 2012 consid. 1.2.1 et 6B_741/2010 du 9 novembre 2010 consid. 3.1.2). 3.1.6. La définition de l’assassinat ne laisse que peu de place pour d’éventuelles circonstances atténuantes. Si l’application de l’art. 48 CP ne semble pas exclue dans son principe (cf. B. CORBOZ, op. cit. , n. 24 ad art. 112), elle semble cependant devoir s’envisager de façon exceptionnelle, en raison du caractère difficilement compatibles des circonstances atténuantes avec la définition même de l’assassinat (M. DUPUIS et al. , op. cit., n. 28 ad 112 ; S. Disch, L'homicide intentionnel en droit pénal suisse (étude des articles 111, 112 , 113, 114 et 116 CPS) , Lausanne 1999, p. 330 et 331). Seule la prise en compte des let. d et e, lesquelles visent des éléments sans lien intrinsèque avec l’acte, paraît véritablement concevable (cf. pour un cas de refus, arrêt du Tribunal fédéral 6B_1276/2015 du 29 juin 2016 consid. 1.3.2). 3.1.7. 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let. a ch. 2 CP (M. DUPUIS et al. , op. cit. , n. 9 ad art. 48). Le bénéfice de cette circonstance atténuante ne peut être accordé que si l'auteur a respecté une certaine proportionnalité entre les motifs qui le poussent et l'importance du bien qu'il lèse. Autrement dit, l'auteur doit s'être comporté d'une façon que la morale ne réprouve pas totalement (arrêt du Tribunal fédéral 6B_13/2009 du 9 février 2009 consid. 4.1, avec référence à l’ATF 110 IV 9 consid. 2 p. 10). 3.1.8. La circonstance atténuante générale de l'émotion violente que les circonstances rendaient excusable ou de l'état de profond désarroi (art. 48 al. 1 let. c CP), qui constitue aussi un élément caractéristique du meurtre passionnel (art. 113 CP), ne peut concerner un assassinat (art. 112 CP) avec lequel elle est incompatible par définition (arrêt du Tribunal fédéral 6B_158/2009 du 1er mai 2009 consid. 1.2).</w:t>
      </w:r>
    </w:p>
    <w:p>
      <w:r>
        <w:rPr>
          <w:b/>
        </w:rPr>
        <w:t>E. 3.2</w:t>
      </w:r>
    </w:p>
    <w:p>
      <w:r>
        <w:t>Comme l'ont retenu les premiers juges, la faute de l'appelant est d'une gravité extrême. Pour fixer la peine, la CPAR, conformément à la jurisprudence, doit tenir compte de l'intensité des circonstances suivantes (mobile égoïste, but et façon particulièrement odieux d'agir), bien qu'elles entrent déjà dans la qualification de l'assassinat. Ne voulant pas accepter les contraintes liées à son droit de visite, certes rendu difficile par la distance séparant son domicile du lieu de vie de ses enfants, il a tué son ex-femme dans des circonstances particulièrement choquantes, préférant supprimer sa vie plutôt que de la voir vivre avec leurs enfants. Il a ce faisant porté atteinte au bien le plus précieux de l'ordre juridique suisse. Au mobile totalement égoïste vient s'ajouter la façon particulièrement odieuse dont il a agi, n'hésitant pas à cribler de balles la tête de la victime alors même que l'une des deux premières l'avaient tuée sur le coup. Il a pris le risque que ses enfants découvrent un spectacle des plus choquant, soit leur mère, le crâne fracassé, un œil enfoncé dans son orbite et baignant dans son sang. Quand bien même les circonstances les ont épargnés à cet égard, les actes de l'appelant sont de nature à mettre concrètement en danger leur développement psychique. C______, qui a entendu les coups de feu, a en particulier rapidement réalisé que son père avait tué sa mère. La collaboration de l'appelant à l'enquête a été très mauvaise, voire catastrophique comme retenu par les premiers juges. L'appelant n'a eu de cesse de se poser en victime et de s'atermoyer sur son propre sort, soit ses problèmes de santé, ses conditions de détention et son absence de contacts avec ses enfants. Il n'a tout au long de la procédure eu de cesse de critiquer les agissements de leur curateur, nommé précisément pour défendre leurs intérêts et les accompagner dans le deuil de leur mère morte dans des conditions effroyables. L'appelant n'en a eu cure, se lamentant au contraire égoïstement de ne pas pouvoir approcher son fils. Il a rendu la procédure inutilement longue et fastidieuse et d'autant plus douloureuse en particulier pour la mère de la victime, par ses refus réitérés de répondre aux questions du Procureur, pour des raisons de maladie, alors même qu'il trouvait l'énergie nécessaire pour parler des sujets l'intéressant mais ne faisant nullement progresser l'enquête et la recherche de la vérité, et contestant encore dans sa déclaration d'appel sa culpabilité. S'il dit désormais "ça doit être moi", il ne dit pas encore "c'est moi". Le fait qu'il se décrive comme un bon élève et se demande comment il a pu "faire un truc pareil" démontrent son absence de prise de conscience et de réels remords. Il aura jusqu'au bout joué avec les autorités, choisi et changé sa stratégie de défense. Il fait encore peu de cas des victimes, lesquelles ont reçu depuis plus de deux ans USD 200.- en tout et pour tout, étant pour le surplus relevé que le compte sur lequel l'appelant déposerait chaque mois de l'argent à leur attention est au nom de ses propres parents. Sa situation personnelle ne saurait expliquer son comportement. Il disposait en effet de capacités intellectuelles au-dessus de la moyenne, d'un environnement soutenant (ses parents, son frère et sa compagne) et d'une situation professionnelle stable avec de bonnes perspectives d'avenir. A sa décharge, il sera tenu compte des années de conflit l'ayant opposé à son ex-épouse, et du fait qu'il avait de la difficulté à supporter la restriction de ses relations personnelles avec les enfants, fondée toutefois sur des décisions de justice. Aucune des circonstances atténuantes prévues par l'art. 48 CP n'est réalisée, ni d'ailleurs plaidée. En particulier, celles de la détresse profonde (let. a ch. 2) et de l'émotion violente et du profond désarroi (let. c) qui ne sont, sauf conditions particulières non réalisées en l'espèce, pas compatibles avec la commission d'un assassinat, vu les motifs exposés et d'ailleurs non fondées en tant que telles. L'appelant n'a pas d'antécédents judiciaires, élément neutre pour la fixation de la peine. L'appelant avait une responsabilité légèrement restreinte au moment d'agir conformément aux conclusions de l'expertise qui ne prête pas le flanc à la critique et qui ne sont au demeurant pas remises en cause. Sont positifs le suivi psychologique que l'appelant a entamé durant la détention, ainsi que les cours de perfectionnement professionnel suivis. En présence de l'appel joint interjeté par le MP, la juridiction d'appel n'est pas limitée par la peine fixée par les premiers juges. La Cour fixera donc ab ovo la peine qui lui paraît adéquate, au regard des éléments évoqués ci-dessus, soit une peine privative de liberté de 15 ans, conformément aux critères des art. 47 et 19 CP. Le jugement de première instance sera donc confirmé sur ce point, ce qui conduit au rejet de l'appel joint du MP.</w:t>
      </w:r>
    </w:p>
    <w:p>
      <w:r>
        <w:rPr>
          <w:b/>
        </w:rPr>
        <w:t>E. 4</w:t>
      </w:r>
    </w:p>
    <w:p>
      <w:r>
        <w:t>Les motifs ayant conduit la direction de la procédure à prononcer, par ordonnance séparée du 16 novembre 2016, le maintien de l'appelant en détention pour des motifs de sûreté sont toujours d'actualité, ce que celui-ci ne conteste au demeurant pas, de sorte que la mesure sera reconduite mutatis mutandis (ATF 139 IV 277 consid. 2.2 à 2.3).</w:t>
      </w:r>
    </w:p>
    <w:p>
      <w:r>
        <w:rPr>
          <w:b/>
        </w:rPr>
        <w:t>E. 5</w:t>
      </w:r>
    </w:p>
    <w:p>
      <w:r>
        <w:t>5.1.1. En vertu de l'art. 126 al. 1 let. a CPP, le tribunal statue sur les prétentions civiles présentées lorsqu'il rend un verdict de culpabilité à l'encontre du prévenu. 5.1.2. Dans la mesure du possible, la partie plaignante chiffre ses conclusions civiles dans sa déclaration au sens de l'art. 119 CPP et les motive par écrit (art. 123 al. 1 1 ère phrase CPP). La constitution de partie plaignante devant être opérée avant la clôture de la procédure préliminaire (art. 118 al. 3 CPP en lien avec les art. 318 s. CPP), elle intervient à un stade où le lésé n'est pas nécessairement en mesure d'établir l'ampleur définitive du préjudice subi, notamment certains éléments qui ne pourraient être déterminés qu'à l'issue de la procédure probatoire de première instance (art. 341 s. CPP).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1B_94/2015 du 26 juin 2015 consid. 2.1 et les références citées). 5.1.3.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CC), le juge dispose d'un large pouvoir d'appréciation (ATF 132 II 117 consid. 2.2.3 in limine ; arrêt du Tribunal fédéral 6B_188/2010 du 4 octobre 2010). D'une manière générale, la jurisprudence récente tend à allouer des montants de plus en plus importants au titre du tort moral (ATF 125 III 269 consid. 2a p. 274).</w:t>
      </w:r>
    </w:p>
    <w:p>
      <w:r>
        <w:rPr>
          <w:b/>
        </w:rPr>
        <w:t>E. 5.2</w:t>
      </w:r>
    </w:p>
    <w:p>
      <w:r>
        <w:t>Lors des débats devant la CPAR, l'appelant s'en rapporte à justice sur les conclusions civiles. Les circonstances particulièrement pénibles de la commission de l'assassinat à la charge de l'appelant appellent une forte indemnisation des membres de la famille meurtrie. En ce sens, les premiers juges ont dans une juste mesure pris en compte l'importance de cette infraction, les circonstances particulièrement odieuses de sa commission et la perte de leur mère pour deux enfants en bas âge, respectivement de sa fille. Être orphelin de mère ou connaître la mort de son enfant n'est pas loin de représenter ce qui se fait de pire dans l'échelle des valeurs d'une épreuve. Les enfants ont été déracinés de leur lieu de vie pour bénéficier des soins et de l'éducation de leur grand-mère vivant au AQ______. Cette dernière doit travailler au-delà de l'âge de la retraite pour pourvoir à leur entretien. Les montants de CHF 60'000.- pour chacun des enfants et de CHF 40'000.- pour la mère de la victime qui était en contact constant avec sa fille malgré la distance séparant leurs lieux de vie, représentent des montants adaptés à leur souffrance. Les liens des enfants avec la défunte, et ce que cette dernière représentait pour sa mère doivent être pris en compte. Il y a ainsi lieu de confirmer les indemnisations dues aux membres de la famille G______ prononcées en première instance, lesquelles tiennent adéquatement compte de ces paramètres.</w:t>
      </w:r>
    </w:p>
    <w:p>
      <w:r>
        <w:rPr>
          <w:b/>
        </w:rPr>
        <w:t>E. 6</w:t>
      </w:r>
    </w:p>
    <w:p>
      <w:r>
        <w:t>L'appelant, qui succombe pour l'essentiel, supportera les deux-tiers des frais de la procédure d'appel, comprenant un émolument de CHF 8'000.-, le solde étant laissé à la charge de l'Etat (art. 428 CPP), vu le rejet de l'appel joint du MP.</w:t>
      </w:r>
    </w:p>
    <w:p>
      <w:r>
        <w:rPr>
          <w:b/>
        </w:rPr>
        <w:t>E. 7</w:t>
      </w:r>
    </w:p>
    <w:p>
      <w:r>
        <w:t>. 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BB.2016.34 du 21 octobre 2016 consid. 4). Des exceptions demeurent possibles, charge à l'avocat de justifier l'ampleur des tâches effectuées qui dépasseraient la couverture du forfait. 7.2.4. Selon l'art. 17 RAJ, l'état de frais doit détailler, par rubriques, les activités donnant lieu à indemnisation, avec indication du temps consacré, et les justificatifs doivent être joints.</w:t>
      </w:r>
    </w:p>
    <w:p>
      <w:r>
        <w:rPr>
          <w:b/>
        </w:rPr>
        <w:t>E. 7.4</w:t>
      </w:r>
    </w:p>
    <w:p>
      <w:r>
        <w:t>En application de ces mêmes principes, le poste "Conférences téléphoniques avec la cliente" étant exceptionnellement indemnisé vu le domicile lointain de la partie plaignante, il convient d'arrêter à CHF 4'633.20 le montant dû à M e F______, conseil juridique gratuit de E______, correspondant à 19h30 d'activité au tarif de CHF 200.- (CHF 3'900.-), plus la majoration forfaitaire de 10% (CHF 390.-), compte tenu de l'indemnisation intervenue en première instance et l'équivalent de la TVA au taux de 8% en CHF 343.20.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