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P/11876/2014 vom 22. Februar 2017</w:t>
      </w:r>
    </w:p>
    <w:p>
      <w:r>
        <w:t>GE Cour de justice, 2017-02-22, FR</w:t>
      </w:r>
    </w:p>
    <w:p>
      <w:r>
        <w:rPr>
          <w:b/>
        </w:rPr>
        <w:t xml:space="preserve">Quelle: </w:t>
      </w:r>
      <w:r>
        <w:t>https://mcp.opencaselaw.ch/entscheid/ge_gerichte_P_11876_2014</w:t>
      </w:r>
    </w:p>
    <w:p>
      <w:r>
        <w:t>FR: GE_GERICHTE P/11876/2014 du 22 février 2017</w:t>
      </w:r>
    </w:p>
    <w:p>
      <w:r>
        <w:t>IT: GE_GERICHTE P/11876/2014 del 22 febbraio 2017</w:t>
      </w:r>
    </w:p>
    <w:p>
      <w:pPr>
        <w:pStyle w:val="Heading2"/>
      </w:pPr>
      <w:r>
        <w:t>Regeste</w:t>
      </w:r>
    </w:p>
    <w:p>
      <w:r>
        <w:t>INJURE ; DIFFAMATION ; PREUVE LIBÉRATOIRE ; PRINCIPE DE LA BONNE FOI ; SURSIS À L'EXÉCUTION DE LA PEINE ; FIXATION DE LA PEINE ; PEINE PÉCUNIAIRE | CP.177.1 CP.173.1.2 CP.173.3 CP.173.4 CPP.433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et les frais, les indemnités et la réparation du tort moral (let. f). La Chambre limite son examen aux violations décrites dans l'acte d'appel (art. 404 al. 1 CPP), sauf en cas de décisions illégales ou inéquitables (art. 404 al. 2 CPP).</w:t>
      </w:r>
    </w:p>
    <w:p>
      <w:r>
        <w:rPr>
          <w:b/>
        </w:rPr>
        <w:t>E. 2.1</w:t>
      </w:r>
    </w:p>
    <w:p>
      <w:r>
        <w:t>L'art.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De façon générale,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 arrêt du Tribunal fédéral 6B_356/2008 du 11 août 2008 consid. 4.1). La diffamation suppose une allégation de fait, et non un simple jugement de valeur, qui peut alors constituer une injure au sens de l'art. 177 CP (ATF 117 IV 27 consid. 2c p. 29 ; arrêt du Tribunal fédéral 6S.147/2002 du 21 août 2002 consid. 3.1, non publié à l’ATF 128 IV 260 ).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 mais en relation avec des faits précis, une telle affirmation à caractère mixte doit être traitée comme une allégation de fait (arrêt du Tribunal fédéral 6B_395/2009 du 20 octobre 2009 consid. 3.2.2. avec référence à l’ATF 121 IV 76 consid. 2a/bb p. 83). Le fait d'accuser une personne d'avoir commis un crime ou un délit intentionnel entre dans les prévisions de l'art. 173 ch. 1 CP (ATF 132 IV 112 consid. 2.2 p. 115 ; 118 IV 248 consid. 2b p. 250s ; arrêt du Tribunal fédéral 6B_138/2008 du 22 janvier 2009 consid. 3.1). Pour qu'il y ait diffamation, il faut encore que l'auteur s'adresse à un tiers. Est en principe considéré comme tiers toute personne autre que l'auteur et l'objet des propos qui portent atteinte à l'honneur (ATF 86 IV 209 ). 2.2.1. En vertu de l'art. 173 ch. 2 CP, l'auteur n'encourt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Toutefois, conformément à l'art. 173 ch. 3 CP, l'auteur n'est pas admis à faire les preuves prévues par l’art. 173 ch. 2 CP, et il est punissable, si ses allégations ont été articulées ou propagées sans égard à l'intérêt public ou sans autre motif suffisant, principalement dans le dessein de dire du mal d'autrui, notamment lorsqu'elles ont trait à la vie privée ou familiale du lésé. 2.2.2. Les conditions énoncées à l'art. 173 ch. 3 CP doivent être interprétées de manière restrictive. En principe, le prévenu doit être admis à faire les preuves libératoires et ce n'est qu'exceptionnellement que cette possibilité doit lui être refusée (ATF132 IV 112 consid. 3.1 p. 116). Pour que cette preuve puisse être apportée, il doit y avoir, parmi les circonstances dans lesquelles l'allégation a été faite, des motifs suffisants pour la justifier, qu'il s'agisse d'un intérêt public ou privé (ATF 132 IV 112 consid. 3.1 ; 82 IV 10 consid. 3). En présence de motif objectivement suffisant, il ne faut admettre que de manière restrictive que l'allégation est intervenue dans le dessein de nuire, car l'exclusion de la preuve libératoire constitue une limitation très importante des droits de la défense (TI : CCRP 19.06.1987, Rep. 1989 p. 248). 2.2.3.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 9 octobre 2015 consid. 1).</w:t>
      </w:r>
    </w:p>
    <w:p>
      <w:r>
        <w:rPr>
          <w:b/>
        </w:rPr>
        <w:t>E. 2.3</w:t>
      </w:r>
    </w:p>
    <w:p>
      <w:r>
        <w:t>Si l'auteur reconnaît la fausseté de ses allégations et les rétracte, le juge pourra atténuer la peine ou exempter le délinquant de toute peine (art. 173 ch. 4 CP). La rétractation est admise lorsque l'auteur reconnaît clairement et sans équivoque la fausseté des faits allégués et manifeste activement un repentir (ATF 112 IV 25 consid. 4 p. 30). L'auteur doit démontrer par son comportement le désir qu'il a de rétablir la victime dans son honorabilité (ATF 112 IV 25 consid. 2 p. 29). La simple présentation d'excuses de la part de l'auteur ou le simple retrait des déclarations attentatoires à l'honneur ne suffisent pas (ATF 112 IV 25 consid. 2 et 4 p. 29 et 30). La rétractation doit intervenir sous la même forme et devant le même cercle de personnes que celui qui a eu connaissance des propos attentatoires à l'honneur (arrêt du Tribunal fédéral 6S.518/2001 du 29 novembre 2002 consid. 4.3). 2.4.1. Se rend coupable d'injure celui qui aura, par la parole, l'écriture, l'image, le geste ou par des voies de fait, attaqué autrui dans son honneur (art. 177 al. 1 CP). Alors que la diffamation (art. 173 CP) suppose une allégation de fait, l'injure consiste en des jugements de valeur, adressé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6B_557/2013 du 12 septembre 2013 consid. 1.1 ; 6B_333/2008 du 9 mars 2009 consid. 1.3 ; ATF 71 IV 187 consid. 2 p. 188). 2.4.2. Du point de vue subjectif, il suffit que l'auteur ait eu conscience du caractère attentatoire à l'honneur de ses propos et qu'il les ait proférés néanmoins ; il n'est pas nécessaire qu'il ait eu la volonté de blesser la personne visée (ATF 119 IV 44 consid. 2a). Si l'auteur a allégué un fait en s'adressant à la personne visée exclusivement, les preuves libératoires sont ouvertes aux mêmes conditions que pour la diffamation (CORBOZ, Les infractions en droit suisse , vol. I, n. 26 ad . art. 177 CP). L'injure est subsidiaire par rapport à la diffamation. Si l'auteur s'adresse à la fois à la personne visée et à un tiers, ces dispositions peuvent concourir (B. CORBOZ, op. cit , n. 123 ad art. 173 CP). 2.5.1. Il n'est en l'espèce pas contesté que les termes proférés par l'intimé à l'encontre des appelants sont attentatoires à l'honneur. En s'adressant à A______ pour traiter le père de celui-ci d' "escroc" , l'intimé a réalisé les éléments constitutifs objectifs de la diffamation. De même, en s'adressant directement à A______ et en le traitant d' "escroc" , de "faussaire" et d' "imitateur de signature" , il a réalisé l'infraction d'injure. 2.5.2. Pour légitimer l'emploi des termes "faussaire" et "imitateur de signature" , l'intimé s'appuie sur le prétendu faux "reçu en consignation" produit par C______ dans sa plainte en 2012. L'enquête a cependant conduit le Ministère public à rendre une ordonnance de non-entrée en matière le 24 juin 2013, sans ouvrir pour autant d'office une instruction pour faux dans les titres. Cet élément aurait déjà dû interpeller l'intimé quant à la réalité de cette infraction. Il a de surcroit attendu près d'un an après le classement pour porter plainte contre les appelants, ce qui tend à démontrer qu'il n'était pas certain de la réalisation de l'infraction. Quant au terme " escroc" , l'intimé ne saurait être considéré de bonne foi lorsqu'il l'a employé, ayant lui-même accusé A______ de diffamation pour l'usage de ce qualificatif à son égard. En utilisant des termes identiques contre les plaignants, seulement quelques jours après avoir été traité de la sorte par l'un d'eux, il semble bien plutôt que l'intimé ait voulu riposter à cette attaque dans les mêmes termes. Enfin, l'intimé justifie ses dires par les nombreuses poursuites infondées que les appelants lui ont fait notifier depuis plusieurs années, alors qu'aucun jugement civil ne leur donne raison. S'il paraît douteux que les parties plaignantes n'aient été mues par aucun esprit de chicane dans le dépôt des multiples procédures en conciliation et poursuites pour ne jamais agir au fond, ces actions ne relèvent pour autant pas de l'escroquerie ou d'un autre comportement pénal. Dans ce contexte, les termes employés par l'intimé traduisent un sentiment de colère et d'exaspération, ce qui ne légitime pas le recours à des termes diffamatoires ou injurieux. La CPAR soulignera finalement qu'aucune rétractation n'a été formulée par l'intimé. Compte tenu de ce qui précède, le premier juge a retenu, à tort, que l'intimé avait apporté la preuve de sa bonne foi. Le jugement entrepris sera ainsi réformé.</w:t>
      </w:r>
    </w:p>
    <w:p>
      <w:r>
        <w:rPr>
          <w:b/>
        </w:rPr>
        <w:t>E. 4.1</w:t>
      </w:r>
    </w:p>
    <w:p>
      <w:r>
        <w:t>Celui qui se rend coupable de diffamation sera puni, sur plainte, d'une peine pécuniaire de 180 jours-amende au plus. L'infraction d'injure est quant à elle punie d'une peine pécuniaire de 90 jours-amende au plus.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D'après l'art. 49 al. 1 CP, si, en raison d'un ou de plusieurs actes, l'auteur remplit les conditions de plusieurs peines de même genre, le juge le condamne à la peine de l'infraction la plus grave et l'augmente dans une juste proportion. 4.2.2.1. 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4.2.2.2. Le tribunal doit ensuite arrêter le montant du jour-amende qui est de CHF 3'000.- au plus.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 ème phrase CP). Fondamentalement, l'accusé a le droit de ne pas collaborer à l'instruction et de refuser de fournir au juge les informations relatives à sa situation patrimoniale. Le juge dispose cependant d'un large pouvoir d'appréciation, lui permettant de procéder à une estimation du montant du jour-amende en fonction des informations dont il dispose (Y. JEANNERET, in Commentaire romand, Code pénal I , 2009, n° 44 ad art. 34 CP et les références citées). L'accusé ne peut dans ce cas se prévaloir du principe in dubio pro reo (cf. arrêt 6P.155/2006 du 28 décembre 2006 consid. 10.3). Le train de vie peut également être pris en compte lorsque le revenu doit être estimé car son établissement exact s'avère impossible ou car l'auteur ne fournit pas d'indication suffisante à ces fins (ATF 134 IV 60 consid. 6.3 p. 70 ; arrêts 6B_152/2007 du 13 mai 2008 consid. 8.4.1 et 6B_568/2012 du 16 novembre 2012). 4.2.3.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w:t>
      </w:r>
    </w:p>
    <w:p>
      <w:r>
        <w:rPr>
          <w:b/>
        </w:rPr>
        <w:t>E. 4.3</w:t>
      </w:r>
    </w:p>
    <w:p>
      <w:r>
        <w:t>En l'espèce, la faute de l'intimé n'est pas anodine. Il a, à plusieurs reprises, attaqué l'honneur des parties plaignantes en exprimant son mépris à leur égard par les termes employés dans ses messages. Il a agi par agacement et vengeance. Le contexte assurément litigieux depuis de nombreuses années entre les différents protagonistes ne saurait excuser son comportement, ce d'autant qu'il reprochait l'utilisation des mêmes termes à son égard par l'un des appelants. Il n'a présenté aucune excuse ou exprimé de véritables regrets. Seule une proposition de rétractation a été formulée par l'intimée devant le Ministère public, subordonnée à la condition que les plaignants en fassent autant. Il y a concours d'infractions, ce qui constitue un facteur d'aggravation de la peine. L'absence d'antécédents judiciaires a un effet neutre sur la peine (ATF 136 IV 1 consid. 2.6.). Au vu de ces différents éléments, la peine pécuniaire sera arrêtée à 20 jours-amende. Il ressort en effet du dossier que l'intimé jouit d'une situation financière favorable. Il est propriétaire immobilier et s'acquitte d'intérêts hypothécaires élevés, ce qui est un indice de ce que ses revenus le sont également, nonobstant ses déclarations relatives à un "revenu fiscal négatif" par ailleurs non étayées. Au demeurant, l'intéressé n'a pas critiqué la quotité du jour-amende de CHF 1'000.- retenue par le Ministère public dans l'ordonnance pénale du 19 décembre 2014 et a refusé de renseigner la CPAR sur ses revenus et fortune, ce qui permet de présumer qu'il considère que son minimum vital n'était pas atteint. Les conditions objectives à l'octroi du sursis sont réalisées, le pronostic n'apparaissant pas défavorable. Le délai d'épreuve sera arrêté à deux ans, durée qui apparaît justifiée et suffisante pour dissuader l'intimé de commettre de nouvelles infractions.</w:t>
      </w:r>
    </w:p>
    <w:p>
      <w:r>
        <w:rPr>
          <w:b/>
        </w:rPr>
        <w:t>E. 5</w:t>
      </w:r>
    </w:p>
    <w:p>
      <w:r>
        <w:t>5.1.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et doit les chiffrer et les justifier (al. 2).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(arrêts du Tribunal fédéral 6B_495/2014 du 6 octobre 2014 consid. 2.1 ; 6B_159/2012 du 22 juin 2012 consid. 2.3 ; A. KUHN / Y. JEANNERET (éd.), Commentaire romand : Code de procédure pénale suisse , Bâle 2011, n. 8 ad art. 433 ; N. SCHMID, op. cit ., n. 3 ad art. 433). Il s'agit en premier lieu des frais d'avocat de la partie plaignante (arrêt du Tribunal fédéral 6B_965/2013 du 3 décembre 2013 consid. 3.1.1).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5.2</w:t>
      </w:r>
    </w:p>
    <w:p>
      <w:r>
        <w:t>En l'espèce, les parties plaignantes ayant obtenu gain de cause en appel, le principe de l'indemnisation de leurs frais d'avocat pour ladite procédure leur est acquis, aucune indemnisation n'ayant été sollicitée en première instance. L'état de frais produit par le conseil des appelants ne paraît pas en adéquation avec la nature, l'importance et la difficulté de la cause, le dossier étant connu par celui-ci dès l'origine et pour les différentes procédures qui opposent les parties. Il ne se justifie dès lors pas de retenir l'intégralité des heures articulées pour la rédaction d'une seule écriture de 15 pages, dont 11 de faits rapportant principalement les propos tenus par les différents protagonistes lors de leurs interrogatoires. Le nombre d'heures utiles sera ainsi diminué de moitié. Au vu de ce qui précède, l'intimé sera condamné à payer aux appelants, au titre de leurs frais de défense en appel, la somme de CHF 1'944.-, correspondant à quatre heures d'activité au tarif de chef d'étude, TVA incluse.</w:t>
      </w:r>
    </w:p>
    <w:p>
      <w:r>
        <w:rPr>
          <w:b/>
        </w:rPr>
        <w:t>E. 6</w:t>
      </w:r>
    </w:p>
    <w:p>
      <w:r>
        <w:t>Vu l'issue de la procédure d'appel, l'intimé sera débouté de ses conclusions en indemnisation (art. 429 CPP).</w:t>
      </w:r>
    </w:p>
    <w:p>
      <w:r>
        <w:rPr>
          <w:b/>
        </w:rPr>
        <w:t>E. 7</w:t>
      </w:r>
    </w:p>
    <w:p>
      <w:r>
        <w:t>L'intimé, qui succombe, sera condamné aux frais de la procédure de première instance et d'appel, ces derniers comprenant un émolument de CHF 1'500.-.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