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P/11822/2008 vom 17. November 2014</w:t>
      </w:r>
    </w:p>
    <w:p>
      <w:r>
        <w:t>GE Cour de justice, 2014-11-17, FR</w:t>
      </w:r>
    </w:p>
    <w:p>
      <w:r>
        <w:rPr>
          <w:b/>
        </w:rPr>
        <w:t xml:space="preserve">Quelle: </w:t>
      </w:r>
      <w:r>
        <w:t>https://mcp.opencaselaw.ch/entscheid/ge_gerichte_P_11822_2008</w:t>
      </w:r>
    </w:p>
    <w:p>
      <w:r>
        <w:t>FR: GE_GERICHTE P/11822/2008 du 17 novembre 2014</w:t>
      </w:r>
    </w:p>
    <w:p>
      <w:r>
        <w:t>IT: GE_GERICHTE P/11822/2008 del 17 novembre 2014</w:t>
      </w:r>
    </w:p>
    <w:p>
      <w:pPr>
        <w:pStyle w:val="Heading2"/>
      </w:pPr>
      <w:r>
        <w:t>Regeste</w:t>
      </w:r>
    </w:p>
    <w:p>
      <w:r>
        <w:t>ESCROQUERIE; FIXATION DE LA PEINE; FIXATION DE LA PEINE | CP.146; CP.47; CP.42; CP.43; CPP.239</w:t>
      </w:r>
    </w:p>
    <w:p>
      <w:pPr>
        <w:pStyle w:val="Heading2"/>
      </w:pPr>
      <w:r>
        <w:t>Erwägungen</w:t>
      </w:r>
    </w:p>
    <w:p>
      <w:r>
        <w:rPr>
          <w:b/>
        </w:rPr>
        <w:t>E. 3</w:t>
      </w:r>
    </w:p>
    <w:p>
      <w:r>
        <w:t>.1.1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![endif]&gt;![if&gt;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 3.1.2 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En outre, les condamnations passées perdent de leur importance avec l'écoulement du temps (…) (ATF 135 IV 87 consid. 2 p. 89). Les antécédents judiciaires ne sauraient toutefois conduire à une augmentation massive de la peine, parce que cela reviendrait à condamner une deuxième fois pour des actes déjà jugés (ATF 120 IV 136 consid. 3b p. 145). 3.2.1 L'art. 43 CP prévoit que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3.2.2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 p. 6). L'art. 42 al. 2 CP ne s'applique qu'en présence d'une seule condamnation antérieure, et non si l'auteur a été condamné à plusieurs peines, même si l'addition de leur durée dépasse six mois ou 180 jours-amende. En effet, ce qui est déterminant, c'est que l'auteur ait commis une infraction d'une certaine gravité, et non plus – comme sous l'ancien droit – qu'il ait purgé une peine privative de liberté d'une certaine longueur (arrêt du Tribunal fédéral 6B_812/2009 du 18 février 2010 consid. 2.1). Les condamnations étrangères doivent être prises en considération sous réserve qu'au regard des principes généraux du droit suisse, elles ne sanctionnent pas un comportement qu'il est inopportun de réprimer, qu'elles ne prononcent pas une peine disproportionnée ou qu'elles n'aient pas été infligées au terme d'une procédure irrégulière (cf. Message p. 1856). Cette réserve doit être rapprochée de celle de l'ordre public (arrêts du Tribunal fédéral 6B_244/2010 du 4 juin 2010 consid. 1 et 6S.253/2004 du 3 novembre 2004 consid. 4 ; cf. également M. NIGGLI / H. WIPRÄCHTIGER, op. cit., n. 90 ad art. 42). Il n'est pas nécessaire que le juge étranger ait statué comme l'aurait fait le juge suisse. Il suffit que la condamnation étrangère ne heurte pas les principes généraux du droit pénal reconnus en Suisse, quant au fait réprimé, à la peine infligée et à l'équité de la procédure.</w:t>
      </w:r>
    </w:p>
    <w:p>
      <w:r>
        <w:rPr>
          <w:b/>
        </w:rPr>
        <w:t>E. 3.3</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Une peine privative de liberté ne peut être prononcée comme peine complémentaire d'une sanction pécuniaire (ATF 137 IV 57 consid. 4.3.1).</w:t>
      </w:r>
    </w:p>
    <w:p>
      <w:r>
        <w:rPr>
          <w:b/>
        </w:rPr>
        <w:t>E. 3.4</w:t>
      </w:r>
    </w:p>
    <w:p>
      <w:r>
        <w:t>La faute de l’appelant est lourde. Il a profité de la confiance et de la sensibilité d’une dame âgée dans le seul but de se faire remettre plus de CHF 700'000.-, en arguant de la prétendue maladie de son enfant. Pour assurer son emprise sur sa victime, il l’a contactée à de multiples reprises entre les mois de juin et octobre 2008. Ces faits se sont déroulés sur une longue période, de juin 2007 à novembre 2008 et n’ont cessé que par l’arrestation de l’appelant. Il reconnaît lui-même qu’il aurait poursuivi ses actes tant que la victime lui aurait donné de l’argent. Seule son arrestation a permis de mettre fin à ces agissements. L’intensité de la volonté délictueuse était donc grande. Il a agi par seul appât d’un gain facile pour se procurer d’importantes sommes d’argent. La collaboration de l’appelant a été mauvaise. Il n’a reconnu certains faits qu’une fois confronté aux preuves. Il n’a cessé d’adapter ses déclarations suivant les éléments figurant au dossier. Bien qu’il manifeste des regrets, il persiste à minimiser les faits, tant dans leur nature que dans leur ampleur, et à soutenir l’invraisemblable pour se disculper d’avoir abusé de la fragilité et de la charité d’une personne âgée vulnérable. Il ne montre ainsi aucune prise de conscience. Quand bien même il reconnaît avoir reçu indûment la somme d’au moins CHF 350'000.-, l’appelant n’a versé aucune indemnisation, même partielle. Les antécédents judiciaires de l’appelant, sur lesquels il a menti, sont également mauvais, y compris sous l’angle de la spécificité. Il a déjà été condamné à deux reprises pour des infractions similaires et n’a pas hésité à récidiver après avoir été libéré provisoirement sous caution par les autorités judiciaires genevoises. Il y a ainsi lieu de prononcer une peine complémentaire à celle prononcée le 11 avril 2012 par les autorités judiciaires françaises. La gravité de la faute exclut l’octroi d’une peine assortie du sursis. La peine privative de liberté de 30 mois avec sursis partiel à raison de 12 mois et un délai d’épreuve de cinq ans apparaît donc adéquate au vu des faits reprochés à l’appelant et de sa situation personnelle. Le jugement entrepris sera ainsi confirmé sur ce point. 4) 4.1.1 En vertu de l'art. 126 al. 1 lit. a CPP, le tribunal statue sur les prétentions civiles présentées lorsqu'il rend un verdict de culpabilité à l'encontre du prévenu. ![endif]&gt;![if&gt; 4.1.2 Selon l'art. 41 al. 1 de la loi fédérale du 30 mars 1911, complétant le Code civil suisse (CO, Code des obligations ; RS 220), celui qui cause, d’une manière illicite, un dommage à autrui, soit intentionnellement, soit par négligence ou imprudence, est tenu de le réparer. La preuve du dommage incombe au demandeur. 4.2 En l’espèce, l’intimée a déposé des conclusions civiles en première instance tendant à l’octroi de CHF 767'000.-, avec intérêt à 5 % dès le 7 octobre 2008. Sur la base des relevés de compte bancaire de la victime et des déclarations de son gestionnaire de fortune selon lesquelles les prélèvements égaux ou supérieurs à CHF 30'000.- étaient inhabituels, les premiers juges ont condamné l’appelant à réparer un dommage estimé à CHF 705'000.-, totalisant tous les retraits d’argent de CHF 30'000.- et plus pour la période pénale concernée. La preuve du préjudice subi par l’intimée a bien été apportée puisque cet argent, remis indûment à l’appelant, lui revenait de plein droit en tant qu’héritière instituée par la victime. Le jugement du Tribunal correctionnel devra donc également être confirmé sur ce point. 5) 5.1 L’autorité saisie de la cause ou qui en a été saisie en dernier statue sur la libération des sûretés (art. 239 al. 3 CPP), laquelle a lieu dès que le motif de détention a disparu, que la procédure pénale est close par une ordonnance de classement ou un acquittement entré en force ou que le prévenu a commencé l’exécution de la sanction privative de liberté (art. 239 al. 1 CPP).![endif]&gt;![if&gt; 5.2 Compte tenu de la peine prononcée à l’encontre de l’appelant et l’impossibilité d’une mise en détention immédiate, la caution ne peut pas être libérée, l’une des conditions posée par l’art. 239 CPP n’étant pas réalisée. 6) L'appelant, qui succombe, supportera les frais de la procédure envers l'État (art. 428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