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P/11820/2020 vom 17. Dezember 2020</w:t>
      </w:r>
    </w:p>
    <w:p>
      <w:r>
        <w:t>GE Cour de justice, 2020-12-17, FR</w:t>
      </w:r>
    </w:p>
    <w:p>
      <w:r>
        <w:rPr>
          <w:b/>
        </w:rPr>
        <w:t xml:space="preserve">Quelle: </w:t>
      </w:r>
      <w:r>
        <w:t>https://mcp.opencaselaw.ch/entscheid/ge_gerichte_P_11820_2020</w:t>
      </w:r>
    </w:p>
    <w:p>
      <w:r>
        <w:t>FR: GE_GERICHTE P/11820/2020 du 17 décembre 2020</w:t>
      </w:r>
    </w:p>
    <w:p>
      <w:r>
        <w:t>IT: GE_GERICHTE P/11820/2020 del 17 dicembre 2020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Au sens de l'art. 291 CP,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 2.1.2 Selon l'art. 19a ch. 1 LStup, celui qui, sans droit, aura consommé intentionnellement des stupéfiants ou celui qui aura commis une infraction à l'art. 19 pour assurer sa propre consommation est passible de l'amende.</w:t>
      </w:r>
    </w:p>
    <w:p>
      <w:r>
        <w:rPr>
          <w:b/>
        </w:rPr>
        <w:t>E. 2.2</w:t>
      </w:r>
    </w:p>
    <w:p>
      <w:r>
        <w:t>En l'espèce, la culpabilité de l'appelant, n'est à juste titre, pas contestée. Partant, sa condamnation des chefs d'infractions aux art. 291 CP et 19a ch. 1 LStup sera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Selon l'art. 52 CP, si la culpabilité de l'auteur et les conséquences de son acte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 3.1.3. Selon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plus généralement : ATF 134 IV 1 consid. 4.2.3 p. 7).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 6B_658/2017 du 30 janvier 2018 consid. 1.2 ; 6B_64/2017 du 24 novembre 2017 consid. 2.2 ; 6B_872/2016 du 15 juin 2017 consid. 2.1 ; 6B_352/2014 du 22 mai 2015 consid. 7.1. non publié in ATF 141 IV 273 ).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6B_42/2018 du 17 mai 2018 consid. 1.2 ; 6B_869/2016 du 1er juin 2017 consid. 4.2 ; 6B_510/2010 du 4 octobre 2010 consid. 1.2.2). Seuls les antécédents judiciaires de l'intimé qui sont inscrits à son casier judiciaire doivent être pris en considération, à l'exclusion des inscriptions éliminées ou de condamnations non inscrites (art. 369 al. 7 CP ; ATF 135 IV 87 ; arrêt du Tribunal fédéral 6B_42/2018 du 17 mai 2018 consid. 1.4). 3.2.1. En l'espèce, la faute de l'appelant n'est pas légère. Il a pénétré sur le territoire suisse alors qu'il savait faire l'objet de trois mesures d'expulsion judiciaire, dont l'une d'une durée de 20 ans, et avait par ailleurs été renvoyé de Suisse le 25 juin 2020, soit une dizaine de jours à peine avant les faits. Son comportement est certainement lié à sa dépendance, mais n'en démontre pas moins son incapacité à respecter les décisions rendues à son encontre, auxquelles il a contrevenu pour assouvir sa toxicomanie alors même qu'il bénéficiait d'un traitement de substitution et d'un encadrement. De telles infractions, sans, en effet, porter atteinte à des biens majeurs individuels de l'ordre juridique suisse, n'en nuisent pas moins à l'autorité dont doivent bénéficier ses décisions et règles, sans préjudice de la mobilisation des nombreux acteurs appelés à en prévenir et réprimer la violation, au détriment de leurs autres tâches et aux frais du contribuable. Il sera concédé à l'appelant que, dans le cas d'un toxicomane qui commet une rupture de ban pour satisfaire son addiction, on ne peut pas véritablement parler de " convenance personnelle ". Néanmoins, le mobile demeure centré sur les besoins propres de l'intéressé. Sa collaboration a été moyenne s'agissant de la rupture de ban, dans la mesure où il ne pouvait guère nier l'évidence. Elle est en revanche bonne en ce qui concerne la consommation de stupéfiant, qui repose sur ses seules déclarations. Lors des débats d'appel, les regrets exprimés ont semblé sincères. L'appelant a de très nombreux antécédents, dont plusieurs spécifiques. 3.2.2. Les conditions d'une exemption de peine ne sont pas réalisées. Contrairement à ce qui a été plaidé, la rupture de ban, même aux fins d'une incursion de faible durée sur le territoire suisse, n'est pas sans conséquence pour l'ordre juridique. Elle l'est d'autant moins en l'occurrence que l'appelant a contrevenu à non pas une mais trois décisions d'expulsion et qu'il l'a fait dans l'objectif d'acquérir et consommer de l'héroïne, soit de commettre une autre infraction, certes de nature contraventionnelle, mais qui alimente le fléau que constitue le trafic, sans compter les nuisances pour les citoyens, tels, dans le cas d'espèce, les occupants de l'immeuble dans lequel l'appelant s'est endormi après avoir consommé. L'intérêt à punir subsiste également dans la mesure où il s'impose de répéter un signal clair. 3.2.3. Au regard de l'importance de la faute telle que définie ci-dessus, il n'y a pas non plus de place pour une réduction des sanctions infligées. Un poids particulier devant être donné à la condamnation prononcée contre l'appelant, quelques jours seulement avant les faits du 3 juillet 2020. La répétition d'infractions en un si court laps de temps, qui suivent elles-mêmes de peu la dernière sortie de prison de l'intéressé, démontre qu'à l'été 2020, ses efforts pour se réinsérer n'avaient pas, ou quasiment pas, eu de résultats. La peine infligée par le TP s'avère ainsi adéquate, au jour du prononcé du jugement, quand bien même cette juridiction n'avait pas connaissance de ladite condamnation, inscrite plus récemment au casier judiciaire. Depuis les débats de première instance, un début de chemin semble avoir été accompli, mais il ne se traduit encore pas par des résultats concrets, qui justifieraient un réexamen à la baisse de cette peine ou de l'amende. En particulier, l'accueil dans un centre résidentiel thérapeutique évoqué en audience, qui serait sans doute une bonne solution, n'a pas été mis en place. Du reste, une telle solution ne pourrait être envisagée avant que l'appelant n'ait purgé la dernière sanction inscrite à son casier judiciaire. Les conditions du sursis ne sont pas réalisées non plus, le pronostic ne pouvant être qualifié, en l'état, que de défavorable, et en tout cas pas de particulièrement favorable, étant rappelé que l'appelant a été condamné à une peine privative de liberté de neuf mois le 1 er mars 2018. Le projet de déménagement auprès de sa famille à E______ (France) afin d'éloigner l'appelant du centre genevois et de ses tentations constitue, certes, une avancée positive mais comme il le reconnaît lui-même, les rechutes sont fréquentes et la distance ne serait, dans ce cas, pas de nature à le dissuader de retourner en Suisse. L'appelant bénéficiait d'ailleurs déjà d'un soutien thérapeutique et médicamenteux le 3 juillet 2020.</w:t>
      </w:r>
    </w:p>
    <w:p>
      <w:r>
        <w:rPr>
          <w:b/>
        </w:rPr>
        <w:t>E. 3.3</w:t>
      </w:r>
    </w:p>
    <w:p>
      <w:r>
        <w:t>Il s'ensuit que l'appel est rejeté.</w:t>
      </w:r>
    </w:p>
    <w:p>
      <w:r>
        <w:rPr>
          <w:b/>
        </w:rPr>
        <w:t>E. 4</w:t>
      </w:r>
    </w:p>
    <w:p>
      <w:r>
        <w:t>L'appelant, qui succombe, supportera les frais de la procédure envers l'Etat (art. 428 CPP).</w:t>
      </w:r>
    </w:p>
    <w:p>
      <w:r>
        <w:rPr>
          <w:b/>
        </w:rPr>
        <w:t>E. 5.1</w:t>
      </w:r>
    </w:p>
    <w:p>
      <w:r>
        <w:t>Selon l'art. 135 al. 1 CPP, le défenseur d'office ou le conseil juridique gratuit (cf. art. 138 al. 1 CPP) est indemnisé conformément au tarif des avocats de la Confédération ou du canton du for du procès. L'art. 16 du règlement sur l'assistance juridique (RAJ) prescrit que l'indemnité, en matière pénale, est calculée selon le tarif horaire suivant, débours de l'étude inclus : avocat stagiaire CHF 110.- (let. a) ; chef d'étude CHF 200.- (let. c).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(décision de la Cour des plaintes du Tribunal pénal fédéral BB.2013.22 du 31 octobre 2013 consid. 5.2.3). L'activité consacrée aux conférences, audiences et autres actes de la procédure est majorée de 20% jusqu'à 30 heures de travail (arrêt du Tribunal fédéral 6B_838/2015 du 25 juillet 2016 consid. 3.5.2). Outre les entretiens téléphoniques, les communications et courriers divers sont en principe inclus dans ce forfait ( AARP/182/2016 du 3 mai 2016 consid. 3.2.2 ; AARP/501/2013 du 28 octobre 2013) de même que l'établissement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Il en va de même de la lecture d'un jugement de quelques pages ( AARP/142/2016 du 14 avril 2016 consid. 5.4.1, AARP/281/2015 du 25 juin 2015 et AARP/272/2015 du 1er juin 2015) ou de la confection de bordereaux de pièces ( AARP/164/2016 du 14 avril 2016 consid. 6.3 ; AARP/102/2016 du 17 mars 2016 ; AARP/300/2015 du 16 juillet 2015.</w:t>
      </w:r>
    </w:p>
    <w:p>
      <w:r>
        <w:rPr>
          <w:b/>
        </w:rPr>
        <w:t>E. 5.2</w:t>
      </w:r>
    </w:p>
    <w:p>
      <w:r>
        <w:t>En l'occurrence, il y a donc lieu de retrancher des états de frais, outre l'entretien téléphonique avec le client, les 20 minutes consacrées à l'analyse du jugement motivé du TP, les quatre heures d'activité de l'avocate-stagiaire pour la rédaction de la déclaration d'appel de même que le temps de correction de ce document par son maître de stage - sans préjudice de ce que l'assistance judiciaire n'a pas pour vocation de pourvoir à la formation -, l'émission de courriers et l'établissement de bordereaux de titres, toutes ces activités étant couvertes par le forfait. Il sera donc admis deux heures et 15 minutes de travail du conseil d'office pour l'étude du dossier et la préparation de l'audience d'appel, ainsi qu'une heure et 30 minutes pour la visite à B______. La durée d'une heure et 15 minutes de l'audience d'appel sera ajoutée, tout comme le montant de CHF 100.- pour la vacation y relative. En conclusion, la rémunération sera arrêtée à CHF 1'400.10 pour cinq heures d'activité de cheffe d'étude au tarif horaire de CHF 200.-/h (CHF 1'000.-), la majoration forfaitaire de 20% (CHF 200.-), la vacation (CHF 100.-), et la TVA au taux de 7.7% (CHF 100.10).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