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P/11810/2024 vom 10. Juni 2025</w:t>
      </w:r>
    </w:p>
    <w:p>
      <w:r>
        <w:t>GE Cour de justice, 2025-06-10, FR</w:t>
      </w:r>
    </w:p>
    <w:p>
      <w:r>
        <w:rPr>
          <w:b/>
        </w:rPr>
        <w:t xml:space="preserve">Quelle: </w:t>
      </w:r>
      <w:r>
        <w:t>https://mcp.opencaselaw.ch/entscheid/ge_gerichte_P_11810_2024</w:t>
      </w:r>
    </w:p>
    <w:p>
      <w:r>
        <w:t>FR: GE_GERICHTE P/11810/2024 du 10 juin 2025</w:t>
      </w:r>
    </w:p>
    <w:p>
      <w:r>
        <w:t>IT: GE_GERICHTE P/11810/2024 del 10 giugno 2025</w:t>
      </w:r>
    </w:p>
    <w:p>
      <w:pPr>
        <w:pStyle w:val="Heading2"/>
      </w:pPr>
      <w:r>
        <w:t>Regeste</w:t>
      </w:r>
    </w:p>
    <w:p>
      <w:r>
        <w:t>ACTE DE RECOURS;CONTRAVENTION;CONFRONTATION;SIGNALISATION ROUTIÈRE | LCR.90.al1; CST.32.al2; CPP.406.al3</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 1.2.1. La juridiction d'appel peut décider de traiter l'appel en procédure écrite. Dans ce cas, la direction de la procédure fixe à la partie qui a déclaré l'appel un délai pour déposer un mémoire d'appel motivé (art. 406 al. 1 let. c et al. 3 CPP). La motivation écrite de l'appel selon l'art. 406 al. 3 CPP est une exigence de validité dans la procédure écrite. Elle remplace les plaidoiries des parties dans la procédure orale et doit comprendre les points énumérés à l'art. 385 al. 1 CPP (arrêts du Tribunal fédéral 6B_540/2021 du 13 avril 2022 consid. 1.5.1 ; 6B_1418/2017 du 23 novembre 2018 consid. 4). Dans la mesure où la déclaration d'appel est déjà suffisamment motivée, il n'est pas nécessaire de déposer à nouveau les motifs. Dans ces conditions, la cour d'appel est sans autre en mesure de mener la procédure. Il convient néanmoins de fixer à la partie appelante un nouveau délai pour compléter la déclaration d'appel motivée. Si elle ne souhaite pas compléter la motivation, il suffit de renvoyer à la requête antérieure (arrêt du Tribunal fédéral 6B_1430/2021 du 15 février 2023 consid. 1.2.2). Le fait qu'une partie ne réitère pas dans le délai imparti, dans un mémoire écrit, les motifs déjà présentés avec sa déclaration d'appel peut ne pas être préjudiciable. La fiction de retrait selon l'art. 407 al. 1 let. b CPP sur la base d'un tel manquement équivaudrait à un formalisme excessif. Cette rigueur formelle procédurale ne serait pas objectivement justifiée, deviendrait une simple fin en soi et compliquerait de manière insoutenable la réalisation du droit matériel (arrêt du Tribunal fédéral 6B_684/2017 du 13 mars 2018 consid. 1.4.2). 1.2.2. La déclaration d'appel déposée par l'appelant est motivée et satisfait aux exigences de l'art. 385 al. 1 CPP, de sorte que l'absence de dépôt d'un mémoire écrit dans le délai fixé ne saurait conduire, dans le cas d'espèce, au retrait de l'appel selon la fiction de l'art. 407 al. 1 let. b CPP. Cette solution se justifie d'autant plus, en vertu du principe de protection de la bonne foi, puisque l'appelant avait déjà agi de la sorte, en ne donnant pas suite à l'invitation de la CPAR à produire son mémoire d'appel dans une procédure antérieure et que, par arrêt AARP/268/2022 du 13 septembre 2022, la CPAR a considéré que ce défaut ne prêtait pas à conséquence, sa déclaration d'appel valant mémoire d'appel. L'appel est donc recevable pour avoir été interjeté et motivé selon la forme et dans les délais prescrits (art. 398 et 399 CPP).</w:t>
      </w:r>
    </w:p>
    <w:p>
      <w:r>
        <w:rPr>
          <w:b/>
        </w:rPr>
        <w:t>E. 1.3</w:t>
      </w:r>
    </w:p>
    <w:p>
      <w:r>
        <w:t>La Chambre limite son examen aux violations décrites dans l'acte d'appel (art. 404 al. 1 CPP), sauf en cas de décision illégale ou inéquitable (art. 404 al. 2 CPP).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2</w:t>
      </w:r>
    </w:p>
    <w:p>
      <w:r>
        <w:t>2.1.1.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 129 I 151 consid. 3.1). 2.2.1. L'art. 90 al. 1 LCR prévoit que celui qui viole les règles de la circulation prévues par la loi ou par les dispositions d'exécution émanant du Conseil fédéral est puni de l'amende. 2.2.2. L'art. 27 al. 1 LCR, 1 ère phrase, prévoit que chacun se conformera aux signaux et aux marques ainsi qu'aux ordres de la police. Selon l'art. 2 a OSR, les signaux d'indication « Parcage autorisé », « Parcage avec disque de stationnement » et « Parcage contre paiement » ainsi que les signaux de prescription peuvent figurer, à titre de signaux de zone, sur un panneau rectangulaire blanc portant l'inscription « ZONE » (al. 1). La signalisation par zones n'est admise que sur des routes situées à l'intérieur des localités (al. 2). Les droits et obligations indiqués au moyen d'un signal de zone s'appliquent depuis le début de la signalisation par zones jusqu'au signal en marquant la fin. Le signal de fin de zone indique que les règles générales de circulation sont de nouveau valables (al. 3). À teneur de l'art. 48 al. 1 OSR, les parkings sont signalés par les signaux « Parcage autorisé » (4.17), « Parcage avec disque de stationnement » (4.18) ou « Parcage contre paiement » (4.20). Le règlement du parking et les restrictions touchant la durée du stationnement figurent sur une plaque complémentaire.</w:t>
      </w:r>
    </w:p>
    <w:p>
      <w:r>
        <w:rPr>
          <w:b/>
        </w:rPr>
        <w:t>E. 2.3</w:t>
      </w:r>
    </w:p>
    <w:p>
      <w:r>
        <w:t>En l'espèce, il est établi à teneur du dossier, et non contesté par l'appelant, que ce dernier a stationné son véhicule au chemin 2______ à C______, le lundi 27 novembre 2023 à 13h25, alors qu'il était arrivé à tout le moins à 08h00. L'appelant se plaint de ce qu'aucun panneau ne signalait la limitation à quatre heures de la durée du stationnement dans le chemin en question, contrairement à l'avis du Contrôle du stationnement intercommunal exprimé par courriel au SdC selon lequel, de manière générale dans la commune, la limitation était annoncée à chaque entrée de " zone (spéciale) ". Une telle limitation par zone est effectivement prévue par l'art. 2 a OSR, à l'intérieur des localités, et semble concerner le quartier incriminé – du moins d'autres chemins, dont celui d'en face – si l'on croit les déclarations même de l'appelant, ce qui appuie l'accusation. Cela étant, il subsiste un doute sur le fait que le chemin 2______ soit englobé / concerné par cette limitation. D'abord, le prévenu s'en défend – il l'a contesté dès le début et jusqu'en appel. Ensuite, sur les photographies produites, aucun panneau de zone n'est visible. Y figure au contraire un panneau « Parcage autorisé » (accompagné du symbole « Station de recharge » [cf. art. 65 al. 13 OSR]), ce qui interroge sur un éventuel régime d'exception et prête à confusion. Surtout, dans une telle configuration, il est regrettable que le premier juge n'ait pas jugé utile de procéder à l'audition de l'agent contractuel à l'origine de l'avis d'infraction, ce qui aurait permis de dissiper tout doute. En l'état du dossier, le seul courriel de l'autorité intercommunale ne saurait suffire à fonder la condamnation de l'appelant, ce d'autant qu'alors qu'il s'agissait de l'élément central à charge du prévenu, ce dernier n'a pas eu l'opportunité de mettre ce témoignage en doute ou d'interroger l'agent conformément à son droit à la confrontation. Partant, sur la base du dossier, il ne peut être retenu qu'une signalisation conforme limitait la durée du stationnement à quatre heures au lieu où le véhicule de l'appelant était parqué. En l'absence de confrontation, l'état de fait a été établi par le premier juge en violation du droit. L'appelant se verra dès lors acquitté du chef d'infraction à l'art. 90 al. 1 LCR. L'appel est admis et le jugement entrepris sera réformé en ce sens.</w:t>
      </w:r>
    </w:p>
    <w:p>
      <w:r>
        <w:rPr>
          <w:b/>
        </w:rPr>
        <w:t>E. 3</w:t>
      </w:r>
    </w:p>
    <w:p>
      <w:r>
        <w:t>L'appelant obtient gain de cause. Compte tenu de son acquittement, les frais de la procédure d'appel doivent être laissés à la charge de l'État, tout comme ceux de la procédure préliminaire et de première instance (art. 428 al. 1 et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