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P/11769/2011 vom 27. Februar 2014</w:t>
      </w:r>
    </w:p>
    <w:p>
      <w:r>
        <w:t>GE Cour de justice, 2014-02-27, FR</w:t>
      </w:r>
    </w:p>
    <w:p>
      <w:r>
        <w:rPr>
          <w:b/>
        </w:rPr>
        <w:t xml:space="preserve">Quelle: </w:t>
      </w:r>
      <w:r>
        <w:t>https://mcp.opencaselaw.ch/entscheid/ge_gerichte_P_11769_2011</w:t>
      </w:r>
    </w:p>
    <w:p>
      <w:r>
        <w:t>FR: GE_GERICHTE P/11769/2011 du 27 février 2014</w:t>
      </w:r>
    </w:p>
    <w:p>
      <w:r>
        <w:t>IT: GE_GERICHTE P/11769/2011 del 27 febbraio 2014</w:t>
      </w:r>
    </w:p>
    <w:p>
      <w:pPr>
        <w:pStyle w:val="Heading2"/>
      </w:pPr>
      <w:r>
        <w:t>Regeste</w:t>
      </w:r>
    </w:p>
    <w:p>
      <w:r>
        <w:t>INFRACTIONS CONTRE L'INTÉGRITÉ SEXUELLE; CONTRAINTE SEXUELLE; VIOL; SURSIS À L'EXÉCUTION DE LA PEINE; TRAITEMENT AMBULATOIRE | CP.189; CP.190; CP.42; CP.63</w:t>
      </w:r>
    </w:p>
    <w:p>
      <w:pPr>
        <w:pStyle w:val="Heading2"/>
      </w:pPr>
      <w:r>
        <w:t>Erwägungen</w:t>
      </w:r>
    </w:p>
    <w:p>
      <w:r>
        <w:rPr>
          <w:b/>
        </w:rPr>
        <w:t>E. 3</w:t>
      </w:r>
    </w:p>
    <w:p>
      <w:r>
        <w:t>. 3.1. Selon l’art. 19 al. 1 CP, l’auteur n’est pas punissable si, au moment d’agir, il ne possédait pas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Le juge pénal dispose d'un vaste pouvoir d'appréciation pour déterminer si les conditions de la responsabilité restreinte sont réunies. N'importe quelle altération de la faculté de se dominer ne suffit pas pour restreindre la responsabilité. Le Tribunal fédéral raisonne par rapport au concept d'être humain normal, auquel il ne donne pas un sens étroit. Il ne reconnaît ainsi une responsabilité restreinte que si la structure mentale de l'auteur s'écarte sensiblement de la normale, par rapport non seulement aux autres sujets de droit, mais aussi aux délinquants comparables.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Code pénal - Petit commentaire , Bâle 2012, n. 14 et 15 ad art. 19, avec les références citées). 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l'art. 9 Cst. Tel serait le cas si des motifs suffisants ou de sérieux indices lui faisaient douter de l'exactitude d'une expertise (ATF 129 I 49 consid. 4 p. 57 s. ; 118 Ia 144 consid. 1c p. 146).</w:t>
      </w:r>
    </w:p>
    <w:p>
      <w:r>
        <w:rPr>
          <w:b/>
        </w:rPr>
        <w:t>E. 3.2</w:t>
      </w:r>
    </w:p>
    <w:p>
      <w:r>
        <w:t>En l'espèce, l'expert a conclu à une responsabilité très légèrement restreinte de l'appelant, liée à sa faculté diminuée de se déterminer au moment d'agir par rapport au caractère illicite de ses actes. Cette limitation était due au trouble, de sévérité moyenne, du développement psychosexuel et à la déviance sexuelle à type de pédophilie, dont souffrait l'expertisé. Les conclusions de l'expert sont corroborées par les éléments figurant au dossier. Alors même qu'il avait déjà eu des gestes à tout le moins déplacés envers sa nièce C______ quelques années auparavant, ce qui aurait dû le rendre prudent, l'appelant, amené à côtoyer fréquemment et de près la partie plaignante, n'a pas été en mesure de résister à ses pulsions en refusant ou en cessant tout contact une fois le danger réalisé. Il a même agi dans une voiture, quasi sous les yeux du père de sa victime. La fréquence et la durée des actes retenus étayent encore les conclusions de l'expert. Contrairement à ce qu'ont retenu les premiers juges, la vulnérabilité décisionnelle de l'appelant est le reflet de l'altération de sa capacité volutive, et de l'existence d'une responsabilité légèrement restreinte. Le jugement entrepris sera réformé sur ce point, et la responsabilité restreinte admise, conformément aux conclusions de l'expertise.</w:t>
      </w:r>
    </w:p>
    <w:p>
      <w:r>
        <w:rPr>
          <w:b/>
        </w:rPr>
        <w:t>E. 4</w:t>
      </w:r>
    </w:p>
    <w:p>
      <w:r>
        <w:t>4.1.1. Selon l'art. 48 lit.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4.1</w:t>
      </w:r>
    </w:p>
    <w:p>
      <w:r>
        <w:t>2. En l'espèce, avec les premiers juges, et en faisant sienne leurs considérants, la Cour retient que l'appelant ne peut être mis au bénéfice de la circonstance atténuante du repentir sincère. Alors même qu'il savait que la partie plaignante avait décidé de révéler les actes dont elle avait été victime, il ne s'est pas rendu à la police, mais a attendu son arrestation, dont il dit de surcroît avoir été surpris. Il a déployé davantage d'énergie à reconstituer les faits pour les minimiser qu'à se soucier du sort de sa victime et lui présenter de franches excuses. La seule lettre adressée en janvier 2012 ne saurait valoir repentir sincère. Enfin, les montants versés à la victime sont ceux fixés par le tribunal de première instance, même si la décision n'est pas encore en force sur ce point. Il n'y a, là non plus, aucun acte particulièrement méritoire et spontané. 4.2.1. Selon l’art. 48 lit.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4.2.2. L'art. 101 al. 3 CP dernière phrase, en vigueur depuis le 1 er janvier 2013, consacre une exception au principe de la lex mitior , en disposant que les infractions d'actes d'ordre sexuel avec des enfants (art. 187 CP) ainsi que de contrainte sexuelle (189 CP) dirigées contre des enfants de moins de douze ans au moment des faits se prescrivent selon les règles de l'al. 1 let. 3 de cette disposition si l'action pénale ou la peine n'était pas prescrite le 30 novembre 2008 en vertu du droit applicable à cette date, étant rappelé que le délai de prescription de ces infractions était précédemment de 15 ans (art. 97 al. 1 let b aCP). 4.2.3. En l'espèce, les infractions reprochées n'étaient pas prescrites le 30 novembre 2008, de sorte que les nouvelles dispositions trouvent application et les actes commis par l'appelant tombent sous la règle de l'imprescriptibilité au sens de l'art. 101 al. 1 let 3 CP. Cette imprescriptibilité a pour effet que l'admission de la circonstance atténuante du long temps écoulé ne doit être admise qu'avec une grande retenue, à supposer qu'elle soit encore envisageable. C'est en effet pour protéger les victimes d'abus, qui laissent souvent des années s'écouler avant de déposer plainte, que le législateur a nouvellement introduit l'imprescriptibilité de ces infractions. Admettre que ce long temps profite aux agresseurs, en les mettant au bénéfice de la circonstance atténuante de l'art. 48 let. e CP, mettrait à néant cette volonté de protection. Les faits dont l'appelant s'est rendu coupable remontent à 1997 et pour les derniers à 2003. La dizaine d'années qui s'est écoulée jusqu'à ce jour, au regard de l'imprescriptibilité, ne peut en aucun cas justifier l'application de la circonstance atténuante du long temps écoulé, et le jugement entrepris devra être modifié sur ce point. Il pourra être tenu compte du bon comportement de l'appelant depuis 2003 sous l'angle de l'appréciation de la faute.</w:t>
      </w:r>
    </w:p>
    <w:p>
      <w:r>
        <w:rPr>
          <w:b/>
        </w:rPr>
        <w:t>E. 5</w:t>
      </w:r>
    </w:p>
    <w:p>
      <w:r>
        <w:t>5.1.1.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6B_759/2011 du 19 avril 2012 consid. 1.1). 5.1.2. Le juge atténue librement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59s ; arrêts du Tribunal fédéral 6B_284/2012 du 29 octobre 2012 consid. 4.1.6, 6B_77/2012 du 18 juin 2012 consid. 1.2.1 et 6B_741/2010 du 9 novembre 2010 consid. 3.1.2). 5.1.3. A teneur de l'art. 49 al. 1 CP, si, en raison d'un ou de plusieurs actes, l'auteur remplit les conditions de plusieurs peines de même genre, le juge le condamne à la peine de l'infraction la plus grave et l'augmente dans une juste proportion.</w:t>
      </w:r>
    </w:p>
    <w:p>
      <w:r>
        <w:rPr>
          <w:b/>
        </w:rPr>
        <w:t>E. 5.2</w:t>
      </w:r>
    </w:p>
    <w:p>
      <w:r>
        <w:t>En l'espèce, la faute de l'appelant est lourde. Par ses actes, il s'en est pris non seulement à la libre détermination en matière sexuelle de la partie plaignante, mais a porté atteinte à son développement tant physique que psychique, intérêts auxquels le législateur accorde une grande importance. L'appelant a généré chez sa victime des souffrances importantes qui perdurent aujourd'hui encore et l'empêchent de vivre pleinement sa vie de femme. Il a commencé ses agissements alors que sa nièce avait 7 ans seulement. Il a profité de l'ascendant qu'il avait sur elle, résultant de l'affection et de la confiance particulières qu'elle lui portait, de sa position de membre proche de la famille, de la différence d'âge, et du soutien qu'il représentait en période d'échec scolaire. Il a agi de manière régulière sur une longue période, dans un cadre normalement sécurisant pour la fillette, sous prétexte de jeu, profitant de chaque occasion, indifférent à la présence des parents ou de son épouse, et parfois même sous leurs yeux. Cette manière d'agir révèle une grande détermination, bien que la capacité volutive fût légèrement atténuée. Son absence de prudence et de retenue, alors même qu'il se savait fragile, pour avoir eu un comportement à tout le moins critiquable à l'égard de C______ quelques années auparavant, constitue un indice supplémentaire de cette intensité. Il a agi pour calmer ses pulsions, et apaiser les frustrations de sa vie de couple, sans égard aucun pour sa victime, alors qu'il avait une activité professionnelle épanouissante et une vie sociale satisfaisante. Sa collaboration à l'instruction a été moyenne. L'appelant a certes admis partiellement les faits, dont certains non mentionnés par la partie plaignante, mais s'est surtout appliqué à les minimiser, sous prétexte de reconstitution objective. Cette attitude, ajoutée à la retenue avec laquelle il a exprimé des regrets et présenté des excuses ainsi qu'à l'insistance marquée quant à la répercussion de cette procédure sur sa vie professionnelle, financière et familiale, dénotent une froideur, qui fait douter de sa pleine prise de conscience de la gravité de ses actes. Il y a concours d'infractions. A décharge, il sera tenu compte de la relative ancienneté des faits, de l'absence de nouvelles infractions depuis lors, et de l'indemnisation, même partielle, de sa victime, avant qu'une décision exécutoire en ce sens ne soit rendue. La responsabilité légèrement restreinte de l'appelant sera également prise en cause, comme facteur d'atténuation de la peine, de même que le suivi régulier d'un traitement thérapeutique. L’absence d’antécédents judicaires est en principe un facteur neutre dans la fixation de la peine (ATF 136 IV 1 ). Compte tenu des considérations qui précèdent, la peine infligée par les premiers juges apparaît trop clémente et doit être annulée. L'appelant sera condamné à une peine privative de liberté de trois ans.</w:t>
      </w:r>
    </w:p>
    <w:p>
      <w:r>
        <w:rPr>
          <w:b/>
        </w:rPr>
        <w:t>E. 6</w:t>
      </w:r>
    </w:p>
    <w:p>
      <w:r>
        <w:t>6.1.1. Le juge peut suspendre partiellement l'exécution d'une (…) peine privative de liberté d'un an au moins et de trois au plus, afin de tenir compte de façon appropriée de la faute de l'auteur. La partie à exécuter ne peut excéder la moitié de la peine (art. 43 al. 1 et 2 CP).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Ainsi,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 Si le juge suspend totalement ou partiellement l'exécution d'une peine, il impartit au condamné un délai d'épreuve de deux à cinq ans (art. 44 al. 1 CP). Plus le risque de récidive est sérieux, et plus le délai d'épreuve sera long (M. DUPUIS / B. GELLER / G. MONNIER / L. MOREILLON / C. PIGUET / C. BETTEX / D. STOLL (éds), op. cit. , n. 2 ad art. 44). 6.1.2.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La référence à la gravité du trouble mental ne correspond pas à une description quantitative du dérangement psychique, mais signifie uniquement que le trouble mental doit être significatif sur le plan psychiatrique comme sur le plan juridique (ATF 6B_77/2012 du 18 juin 2012, c. 2.1.1 et les références citées).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 4.3 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6B_947/2009 du 6 janvier 2010 consid. 3.3). Pour se prononcer sur la suspension de l'exécution d'une peine privative de liberté ferme, le juge doit se fonder sur une expertise psychiatrique (art. 56 al. 3 let. c CP en relation avec l'art. 63 CP; arrêt 6B_581/2009 du 15 décembre 2009 consid. 3.3;ATF 6B_335/2012 du 18 août 2012). Le traitement ambulatoire ne peut en règle générale excéder cinq ans (art. 63 al. 4). 6.1.3. Dans l'ATF 135 IV 180 du 18 juin 2009 (consid. 2.3, y compris les références citées), le Tribunal fédéral a relevé que s ous l'empire des anciennes dispositions générales du Code pénal, il était de jurisprudence constante que l'octroi du sursis (ancien art. 41 CP)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notre haute instance, il n'en va pas différemment en application du nouveau droit. Conformément à l'art. 59 al. 1 let. b CP (qui reprend le principe exprimé par l'art. 56 al. 1 let. a CP), une mesure thérapeutique institutionnelle telle que celle ordonnée en l'espèce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6.2.1. En l'espèce, la Cour considère, avec l'expert, que le pronostic quant au comportement futur de l'appelant n'est pas défavorable. D'abord, celui-ci a eu un comportement exempt de reproches depuis 2003, étant rappelé qu'il n'a entrepris un suivi psychothérapeutique qu'au moment de sa libération en septembre 2010. Ensuite, au vu des modalités particulières d'exercice de sa déviance retenue par l'expert (à savoir des attouchement sexuels sur mineurs de sexe féminin dans le cercle familial) et corroborées par le déroulement des faits, la révélation à son entourage de ces troubles dans le cadre de la présente procédure est de nature à réduire sensiblement le risque qu'il ne se trouve à nouveau dans une situation favorisant un passage à l'acte. Pour les mêmes raisons, la péjoration de sa situation personnelle (perte d'emploi et nouvelle activité à temps partiel sans rapport direct avec sa formation, éloignement d'avec son épouse) n'est pas de nature à augmenter le risque limité de récidive. Ces éléments justifient ainsi le prononcé d'un sursis partiel, la partie ferme à exécuter constituant de surcroît un avertissement marqué, autorisant un pronostic largement plus favorable pour l'avenir (ATF 134 IV 1 consid. 5.5.2 p. 14 s). La peine privative de liberté de trois ans sera en conséquence assortie du sursis partiel, et la partie ferme à exécuter fixée à 18 mois, pour tenir compte de la gravité de la faute de l'appelant. Afin de limiter au maximum le risque de récidive, le délai d'épreuve sera fixé à cinq ans. 6.2.2. Cela étant, la Cour considère, avec l'expert, que l'appelant a besoin d'un signal autoritaire supplémentaire pouvant contribuer au processus thérapeutique déjà entrepris spontanément, sous forme d'un traitement ambulatoire, pour diminuer davantage encore le risque qu'il ne commette des actes en lien avec le trouble dont il souffre. A cet égard, contrairement à ce qu'ont retenu les premiers juges, il n'est pas déterminant que l'expert ait qualifié ces troubles (du développement psychosexuel, de pédophilie et de personnalité dépendante) de "sévérité moyenne", dans la mesure où ils sont indubitablement significatifs tant sur le plan psychiatrique que juridique. Un traitement ambulatoire sera ordonné, sans suspension de l'exécution de la peine, celui-ci pouvant se dérouler en milieu pénitencier. En effet, les éléments environnementaux stabilisateurs évoqués par l'expert et qui auraient pu justifier d'une suspension de la peine n'existent plus, l'appelant ayant perdu son travail de référence et ne vivant plus qu'épisodiquement avec son épouse. Ce traitement sera ordonné pour une durée de cinq ans, celle-ci se comptant en années à dire d'expert. 6.2.3. Cette solution s'écarte de la jurisprudence précitée du Tribunal fédéral rendue sous l'empire de l'ancien art. 41 CP et déclarée applicable au nouveau droit, sans développement particulier dans l'arrêt précité. La Cour considère en effet que les exigences moins élevées quant au pronostic pour l'octroi du sursis, de même que la possibilité offerte d'infliger une peine ferme, assortie d'un sursis partiel, rendent possible le prononcé d'une mesure, en particulier d'un traitement ambulatoire, dans un cas comme celui de la présente espèce. Cette solution remplit les conditions posées par les art. 42 et 43 CP ainsi que 56 et 63 CP.</w:t>
      </w:r>
    </w:p>
    <w:p>
      <w:r>
        <w:rPr>
          <w:b/>
        </w:rPr>
        <w:t>E. 7</w:t>
      </w:r>
    </w:p>
    <w:p>
      <w:r>
        <w:t>7.1.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Des intérêts compensatoires ne sont pas dus si l'évaluation du tort moral a lieu au moment du jugement, pour autant toutefois que l'indisponibilité de l'indemnité entre le moment de l'accident et celui de l'évaluation soit prise en compte dans le montant du tort moral alloué. Si cette indisponibilité n'est pas prise en compte, il y a lieu d'ajouter à l'indemnité un intérêt compensatoire (L. THEVENOZ/F. WERRO, Commentaire romand du Code des obligations I , 2e éd. 2012, n° 22ss ad art. 47 CO).</w:t>
      </w:r>
    </w:p>
    <w:p>
      <w:r>
        <w:rPr>
          <w:b/>
        </w:rPr>
        <w:t>E. 7.2</w:t>
      </w:r>
    </w:p>
    <w:p>
      <w:r>
        <w:t>En l'espèce, les répercussions sur la vie personnelle, affective, sexuelle et professionnelle de la partie plaignante, des actes dont elle a été victime dans son jeune âge, de manière répétée et durant plusieurs années, sont indubitablement très importantes, et d'ailleurs non contestées par l'appelant. Elles ont été confirmées tant par l'époux que par la mère de celle-ci. La nécessité d'un suivi psychiatrique, finalement entrepris par A______ mais dont les effets bénéfiques sont encore peu perceptibles, constitue un indice supplémentaire de l'intensité des souffrances vécues. Le montant alloué au titre du tort moral par les premiers juges ne tient pas suffisamment compte des éléments qui précèdent. L'aggravation de la culpabilité de l'appelant amène à retenir celle du traumatisme subi, et à porter ce montant à CHF 20'000.-, sans intérêt compensatoire, vu la prise en compte de l'indisponibilité entre les actes dommageables et le présent arrêt.</w:t>
      </w:r>
    </w:p>
    <w:p>
      <w:r>
        <w:rPr>
          <w:b/>
        </w:rPr>
        <w:t>E. 8</w:t>
      </w:r>
    </w:p>
    <w:p>
      <w:r>
        <w:t>8.1.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(éds), Commentaire romand: Code de procédure pénale suisse , Bâle 2011, n. 8 ad art. 433 ; N. SCHMID, Schweizerische Strafprozessordnung : Praxiskommentar , 2 e éd., Zurich 2013, n. 3 ad art. 433).</w:t>
      </w:r>
    </w:p>
    <w:p>
      <w:r>
        <w:rPr>
          <w:b/>
        </w:rPr>
        <w:t>E. 8.2</w:t>
      </w:r>
    </w:p>
    <w:p>
      <w:r>
        <w:t>La partie plaignante a obtenu gain de cause en tant que l'appelant a été reconnu coupable tant en première qu'en seconde instance. L'appelant doit ainsi, sur le principe, se voir condamner à supporter les frais d'avocat de la partie plaignante, ce que le premier juge a dûment constaté. En l'espèce, la réduction opérée par les premiers juges est trop importante. Le temps de prise de connaissance du dossier et de préparation de l'audience doit être admis, les contestations de l'appelant quant au nombre et à la durée des faits reprochés ayant indubitablement généré un travail important, dont il faut tenir compte. En revanche, le temps consacré à l'envoi de mémos, mails et lettres sera réduit de cinq heures. Le jugement entrepris sera également modifié sur ce point, et l'indemnité fixée à CHF 23'800.- en chiffres ronds, plus TVA. S'agissant des honoraires facturés pour la procédure d'appel, le temps de préparation d'audience d'appel paraît légèrement excessif, vu celui admis en première instance, tout comme celui consacré au total à l'envoi de nombreux "mémos". Ainsi, seules 18 heures seront admises (dont 30 min. de collaboratrice), portant l'indemnité à CHF 7'960.-, plus TVA. En conclusion, l'appelant sera condamné à verser à la partie plaignante la somme de CHF 31'760.-, plus TVA, au titre de l'indemnité pour les honoraires de son conseil pour la procédure de première instance et d'appel.</w:t>
      </w:r>
    </w:p>
    <w:p>
      <w:r>
        <w:rPr>
          <w:b/>
        </w:rPr>
        <w:t>E. 9</w:t>
      </w:r>
    </w:p>
    <w:p>
      <w:r>
        <w:t>L'appelant qui succombe pour l'essentiel, supportera les frais de la procédure d’appel (art. 428 CPP), comprenant dans leur totalité un émolument de décision de CHF 4'000.- (art. 14 al. 1 let. e du Règlement fixant le tarif des frais en matière pénale [RTFMP - E 4 10.03]).</w:t>
      </w:r>
    </w:p>
    <w:p>
      <w:r>
        <w:rPr>
          <w:b/>
        </w:rPr>
        <w:t>E. 10</w:t>
      </w:r>
    </w:p>
    <w:p>
      <w:r>
        <w:t>Le dispositif du jugement sera annulé dans son ensemble et reformulé entièrement par souci de clarté.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