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P/11732/2015 vom 10. März 2023</w:t>
      </w:r>
    </w:p>
    <w:p>
      <w:r>
        <w:t>GE Cour de justice, 2023-03-10, FR</w:t>
      </w:r>
    </w:p>
    <w:p>
      <w:r>
        <w:rPr>
          <w:b/>
        </w:rPr>
        <w:t xml:space="preserve">Quelle: </w:t>
      </w:r>
      <w:r>
        <w:t>https://mcp.opencaselaw.ch/entscheid/ge_gerichte_P_11732_2015</w:t>
      </w:r>
    </w:p>
    <w:p>
      <w:r>
        <w:t>FR: GE_GERICHTE P/11732/2015 du 10 mars 2023</w:t>
      </w:r>
    </w:p>
    <w:p>
      <w:r>
        <w:t>IT: GE_GERICHTE P/11732/2015 del 10 marzo 2023</w:t>
      </w:r>
    </w:p>
    <w:p>
      <w:pPr>
        <w:pStyle w:val="Heading2"/>
      </w:pPr>
      <w:r>
        <w:t>Regeste</w:t>
      </w:r>
    </w:p>
    <w:p>
      <w:r>
        <w:t>CP.219</w:t>
      </w:r>
    </w:p>
    <w:p>
      <w:pPr>
        <w:pStyle w:val="Heading2"/>
      </w:pPr>
      <w:r>
        <w:t>Erwägungen</w:t>
      </w:r>
    </w:p>
    <w:p>
      <w:r>
        <w:rPr>
          <w:b/>
        </w:rPr>
        <w:t>E. 1</w:t>
      </w:r>
    </w:p>
    <w:p>
      <w:r>
        <w:t>L'appel est recevable pour avoir été interjeté et motivé selon la forme et dans les délais prescrits (art. 398 et 399 du Code de procédure pénale [CPP]). Il sera pris acte du retrait de l’appel joint. La Chambre limite son examen aux violations décrites dans l'acte d'appel (art. 404 al. 1 CPP), sauf en cas de décisions illégales ou inéquitables (art. 404 al. 2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w:t>
      </w:r>
    </w:p>
    <w:p>
      <w:r>
        <w:rPr>
          <w:b/>
        </w:rPr>
        <w:t>E. 2.2.1</w:t>
      </w:r>
    </w:p>
    <w:p>
      <w:r>
        <w:t>Pour que cette disposition soit applicable, il faut d'abord que l'auteur ait eu envers une personne mineure un devoir d'assistance, c'est-à-dire de protection, ou un devoir d'éducation, soit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w:t>
      </w:r>
    </w:p>
    <w:p>
      <w:r>
        <w:rPr>
          <w:b/>
        </w:rPr>
        <w:t>E. 2.2.2</w:t>
      </w:r>
    </w:p>
    <w:p>
      <w:r>
        <w:t>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w:t>
      </w:r>
    </w:p>
    <w:p>
      <w:r>
        <w:rPr>
          <w:b/>
        </w:rPr>
        <w:t>E. 2.2.3</w:t>
      </w:r>
    </w:p>
    <w:p>
      <w:r>
        <w:t>Il faut encore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w:t>
      </w:r>
    </w:p>
    <w:p>
      <w:r>
        <w:rPr>
          <w:b/>
        </w:rPr>
        <w:t>E. 2.2.4</w:t>
      </w:r>
    </w:p>
    <w:p>
      <w:r>
        <w:t>Enfin,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 2 ème éd., Bâle 2017, n. 3 ad art. 219 CP).</w:t>
      </w:r>
    </w:p>
    <w:p>
      <w:r>
        <w:rPr>
          <w:b/>
        </w:rPr>
        <w:t>E. 2.2.5</w:t>
      </w:r>
    </w:p>
    <w:p>
      <w:r>
        <w:t>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 Il y a mise en danger concrète du développement du mineur notamment lorsque les parents qui, dans le cadre d’une séparation houleuse, impliquent leur enfant de manière grave, durable et répétée dans le conflit parental(A. MACALUSO / L. MOREILLON / N. QUELOZ [éds], Commentaire romand, Code pénal II, vol. II, Partie spéciale : art. 111-392 CP , Bâle 2017, n. 14 ad art. 219). Ainsi, un conflit parental massif – à l’occasion duquel les enfants sont régulièrement exposés à des disputes, vociférations et intimidations – peut constituer une violation du devoir d’assistance et d’éducation de nature à mettre en danger le développement d’un mineur (arrêts de la Cour d'appel pénale du Tribunal cantonal vaudois 228 du 13 novembre 2013 consid. 3.2.3 ; 291 du 15 septembre 2016 consid. 4.4.2).</w:t>
      </w:r>
    </w:p>
    <w:p>
      <w:r>
        <w:rPr>
          <w:b/>
        </w:rPr>
        <w:t>E. 2.2.6</w:t>
      </w:r>
    </w:p>
    <w:p>
      <w:r>
        <w:t>Du point de vue subjectif, l’auteur peut avoir agi intentionnellement, auquel cas le dol éventuel suffit, ou par négligence (art. 219 al. 2 CP).</w:t>
      </w:r>
    </w:p>
    <w:p>
      <w:r>
        <w:rPr>
          <w:b/>
        </w:rPr>
        <w:t>E. 2.2.7</w:t>
      </w:r>
    </w:p>
    <w:p>
      <w:r>
        <w:t>Dans le cas de la violation du devoir d’assistance et d’éducation, le comportement prohibé doit avoir pour effet de mettre en danger le développement physique ou psychique de la personne mineure (lequel est le bien juridique protégé spécifiquement par l’art. 219 CP), mais ce résultat ne constitue pas une perpétuation d’un état de fait continu contraire au droit qui prendrait fin avec la cessation des agissements coupables (arrêt du Tribunal fédéral 6B_978/2021 du 5 octobre 2022 consid. 5.5.2).</w:t>
      </w:r>
    </w:p>
    <w:p>
      <w:r>
        <w:rPr>
          <w:b/>
        </w:rPr>
        <w:t>E. 2.2.8</w:t>
      </w:r>
    </w:p>
    <w:p>
      <w:r>
        <w:t>Aux termes de l'art. 97 al. 1 let. c CP, l'action pénale se prescrit par dix ans si la peine maximale encourue est une peine privative de liberté de trois ans, étant précisé que cette durée était de sept ans avant le 1 er janvier 2014 (art. 97 al. 1 let. c aCP). 2.3.1. En l'espèce, il est incontesté que l'appelant avait un devoir d'assistance et d'éducation envers ses deux enfants mineurs et assumait ainsi une position de garant à leur égard. Ces devoirs sont d'ailleurs expressément mentionnés à l'art. 302 du code civil suisse (CC), prévoyant notamment que les parents ont le devoir de favoriser et de protéger le développement corporel, intellectuel et moral de leur enfant. 2.3.2. S'agissant du premier reproche formulé dans l'acte d'accusation (ch. 1.1.2.1 ab initio ), soit du refus de prendre les dispositions proposées par les intervenant sociaux et éducatifs, aucun élément dans le dossier n'appuie l'existence d'un lien de causalité entre ce refus et une mise en danger concrète des enfants. Il ne ressort pas de l'instruction ni de l'acte d'accusation les difficultés précises causées par le prévenu dans ses rapports avec les différents intervenants et encore moins en quoi elles auraient directement menacé le développement psychique de ses enfants. A l'instar du tribunal de première instance, mais par substitution de motifs, la Cour de céans retient donc que le prétendu défaut de collaboration de l'appelant n'est pas constitutif d'une infraction à l'art. 219 CP. 2.3.3. Autre est la question de savoir si, en ayant impliqué directement ses enfants dans le conflit parental (ch. 1.1.2.1 de l'acte d'accusation, in fine ), en les ayant exposés à ses violentes disputes avec F______ et/ou G______ et en ayant mêlé sa fille à ces conflits (ch. 1.1.2.2 de l'acte d'accusation), le prévenu a violé ses devoirs parentaux, ainsi que mis en danger le développement psychique de ses enfants. 2.3.4. Il est établi que, depuis la séparation du 6 février 2012, le conflit conjugal est particulièrement aigu (notamment rapport du SPMi du 26 juin 2012), F______ ayant déposé plainte pénale contre son époux le lendemain déjà de la séparation pour enlèvement de mineur, tentative de contrainte, ainsi que lésions corporelles et étant partie, sur le point d'accoucher, se réfugier avec sa fille dans un foyer d'accueil. A partir de novembre 2012, le prévenu a commencé à soupçonner son épouse de sévices sur leur fille et n'a eu de cesse, depuis lors, de tout mettre en œuvre pour prouver sa culpabilité, étant précisé que les faits antérieurs au 1 er janvier 2014 ont été classés par le premier juge pour cause de prescription. Bien que toute forme de maltraitance maternelle ait été écartée d'emblée et par la suite, tant par les autorités judiciaires, que par les services sociaux ou encore par le corps médical (notamment déclarations de l'assistante sociale du 19 novembre 2012, ACJC/1672/2012 du 22 novembre 2012, examen clinique du 26 novembre 2012, arrêt de la Cour d'appel civile du Tribunal cantonal vaudois 524 du 2 octobre 2015, expertise familiale du 24 février 2017, certificat médical de la Dresse V______ du 8 janvier 2019, compte rendu de l'infirmière scolaire du 10 janvier 2019, expertise de crédibilité du 6 septembre 2019, courriers du SPMi des 12 février 2018, 28 janvier et 6 février 2019 et AI______ des 29 juin et 15 août 2012 et 30 octobre 2018), l'appelant a persisté dans sa quête de la " vérité ", cherchant à obtenir des preuves avant tout par le biais des déclarations de ses enfants. Par ce comportement il a exposé ses enfants au conflit parental ainsi qu’à ses violentes disputes, alors qu’il aurait dû les en préserver. Certes, F______ n'est pas exempte de tout reproche à cet égard. Toutefois, en outre, l’appelant a impliqué les enfants dans ce conflit, en les faisant et en cherchant à les faire témoigner au sens large, ce qui ressort clairement de l'acte d'accusation. Ainsi, malgré les nombreuses mises en garde sur les effets néfastes à court ou long terme sur le développement psychique des enfants (notamment ACJC/1672/2012 du 22 novembre 2012, propos du Dr Z______ dès octobre 2013, DTAE/2784/2014 du 5 mars 2014, arrêt de la Cour d'appel civile du Tribunal cantonal vaudois 524 du 2 octobre 2015, expertise familiale du 24 février 2017, courrier du Dr N______ du 16 novembre 2017, attestation du Dr P______ du 27 juin 2018, compte rendu de l'infirmière scolaire du 10 janvier 2019, expertise de crédibilité du 6 septembre 2019, déclarations de la curatrice du 7 mai 2021 et courrier du SPMi des 5 mars 2013, 12 octobre 2018 et 6 février 2019), l'appelant à persisté à les mêler au conflit en dépit de leur très jeune âge - C______ n'était âgée que de quatre ans en janvier 2014 -, de telle sorte qu'en plus d'être un enjeu du litige, ils en sont devenus parties prenantes. Très vite, l'appelant, qui s'est vu réduire son droit de visite par arrêt du 24 mai 2013 ( ACJC/694/2013 ), a mis en cause la partialité des différents intervenants, d'abord, les collaborateurs du SPMi dans sa requête déposée devant le TPAE le 8 juillet 2013, mais également dans ses courriers subséquentes des 12 novembre 2015 et 30 janvier 2019 adressés à l'OEJ, respectivement à des conseillers d'Etat, puis, le Dr Z______, qui l'aurait " mis à l'écart du suivi " de C______, en mars 2014, ou encore, plus tard, en octobre 2018, O______, psychologue au centre L______, qui se serait montrée partiale. En parallèle, lesdits intervenants ont commencé à pointer du doigt le comportement tendancieux du père. Le Dr Z______ a ainsi estimé, notamment le 18 février et en septembre 2013, que l'intéressé s'était montré peu à l'écoute des problématiques évoquées et qu'il restait persuadé de la maltraitance par la mère. Selon la Dresse Y______, chargée de l'expertise familiale du 24 février 2017, le fonctionnement de A______ empêchait la mise en place d'une autorité parentale conjointe. La spécialiste a encore noté que la demande d'hospitalisation de la fillette en novembre 2012 était une forme d'instrumentalisation et que le père ne mettait pas en avant l'intérêt de ses enfants lorsqu'il se montrait insistant envers eux. Le directeur de l'école a également expliqué au SPMi, le 12 février 2018, que les demandes du père pouvaient être perçues comme une forme d'implication de l'école dans le conflit parental. Le SPMi a, quant à lui, relevé, dans son courrier du 12 octobre 2018, qu'il convenait de ne plus exposer les enfants, comme l'avait fait le père dans une émission télévisée. Le SPMi a encore indiqué, le 6 février 2019, que le prévenu avait une attitude dysfonctionnante et était incapable d'évoluer, de tenir compte des conseils et remarques, de protéger ses enfants et de ne pas se prévaloir de façon contre-productive de son autorité parentale. O______ a écrit à l'autorité civile, le 19 octobre 2018, que le travail de coparentalité était impossible compte tenu de l'attitude de A______, lequel ne pouvait pas se remettre en question et restait bloqué dans ses mécanismes projectifs et de persécution. Dans son expertise de crédibilité du 6 septembre 2019, W______ a indiqué que l'appelant se montrait interprétatif et biaisait la réalité, qu'il instrumentalisait les intervenants et qu'il restait imperméable aux conséquences du conflit de loyauté. L'expertise psychiatrique, réalisée par le Dr AF______f, a mis en évidence que l'hyper altruisme du prévenu expliquait l'installation et la persistance du conflit. Sa manière de penser projective et son fonctionnement pathologique étaient responsables de la dégradation de son lien avec certains intervenants qui n'allaient pas dans son sens. Ces observations, tout comme les multiples constats d'absence de suspicion de mauvais traitements de la part de la mère, n'ont fait que renforcer l'obstination et les démarches du prévenu, qui s'est montré convaincu de manière irrationnelle de la culpabilité de la mère et a tout mis en œuvre pour la faire condamner, comme l'a relevé la Dresse Y______. Il a ainsi cherché, presque essentiellement par la voix de ses enfants, à mettre en lumière ces prétendus sévices, au risque de se montrer aliénant, la psychiatre ayant encore noté qu'il était préjudiciable, en particulier pour C______, que son père continue de penser qu'elle était la seule qui pourrait révéler des éléments de maltraitance à l'encontre de sa mère, alors même que, selon les propres dires de l'intéressé, un enfant pouvait mentir par peur ou par complaisance. 2.3.5. Autour du mois d'avril 2015, l'appelant a ainsi réalisé une vidéo de sa fille, alors âgée de seulement cinq ans, au sujet de l'incident du vol du téléphone reproché à G______. Bien que les premiers mots de la fillette soient " je ne peux pas " et " je n'ai pas envie ", le prévenu ne se prive pas de l'interroger sur cet épisode, en induisant ses réponses, avant de conclure par un " c'est tout ", lorsque cette dernière finit par révéler le prénom tant attendu du voleur. Un an plus tard, soit quelques jours avant que C______ ne soit entendue en audition EVIG, il n'a pas hésité non plus à transmettre cette vidéo à la police. Il apparaît très clairement que lors de cette audition du 9 juin 2016, la précitée n'avait pas envie de parler et s'est montrée excédée. Son père lui avait demandé de dire que G______ avait volé son téléphone, mais elle n'avait en réalité rien vu. Malgré ses déclarations, l'intéressé à, une fois de plus, forcé sa fille à prendre parti, en appelant sa curatrice quelques jours plus tard pour qu'elle lui explique s'être ravisée. Il a récidivé, le 31 octobre 2016, lors de l'entretien devant le médecin chargé de l'expertise familiale, se montrant insistant avec sa fille, en pleurs, qui ne voulait plus évoquer cet épisode. Quelques mois plus tard, la mère de A______ a fait un nouvel enregistrement de la fillette au sujet de l'altercation du 4 septembre 2015 devant le Point Rencontre. Il en ressort que le père évoque la dispute avec son avocate devant sa fille, à laquelle il demande d'approuver ses explications. Il oriente encore une fois son raisonnement, en l'amenant à penser que sa mère va lui demander de témoigner en sa faveur. Peu importe de savoir qui est à l'origine de cet enregistrement, dès lors que le fait d'avoir choisi de le produire en justice démontre qu'il le cautionne. Par ailleurs, si l'on comprend aisément que dans de pareilles situations de tension, il ne soit pas toujours possible de préserver les enfants, ce qui est reproché à l'appelant est bien plus la fréquence et l'intensité de ses actes, qui, pris dans leur ensemble, sont susceptibles de mettre en danger le développement psychique des enfants, que chaque acte isolé. L’appelant ne peut rien tirer du fait d’avoir tardé à produire cet enregistrement : cette attente démontre au contraire qu’il l’a fait en toute connaissance de cause et non sous le coup de l’émotion consécutive à ces faits. Le 20 janvier 2014, le Dr Z______, qui a suivi C______ entre les 9 janvier 2013 et 6 novembre 2014, avait d'ailleurs déjà qualifié de " dirigées " des vidéos transmises par le prévenu de sa fille, affirmant que sa mère la maltraitait. A partir de février 2013, le médecin a également relevé que l'enfant affirmait que son père lui demandait de dire que sa mère la frappait, alors que c'était faux. La fillette se montrait du reste incapable de donner des détails à ce sujet. Selon le spécialiste, même si la précitée différenciait le vrai du faux, cette tâche lui était rendue plus difficile par son rapport avec son père et la peur de perdre ses parents. Elle souffrait d'être tiraillée entre eux. Le 3 janvier 2019, l'appelant s'est rendu à la police pour porter plainte contre son épouse pour maltraitance avec ses deux enfants, ce qui a conduit le même jour à une seconde audition EVIG de la fillette, dont il ressort que cette dernière perçoit très bien les répercussions de ses déclarations ; elle a dit être venue témoigner pour aller vivre chez son père. Pour réaliser l'expertise de crédibilité, l'enfant a dû être entendue encore à deux reprises par l'expert. Ainsi, selon cette expertise, même si l'évènement rapporté par l'enfant était hautement crédible, il ne s'inscrivait pas dans une pratique coutumière. En outre, des pressions indirectes, dont il y avait lieu de tenir compte s'agissant du conflit de loyauté, avaient été exercées par le père. Moins d'une semaine plus tard, le prévenu a emmené en urgences ses enfants chez son psychiatre, le Dr P______, lequel avait fini par contacter la police, qui s'était rendue au cabinet en présence de la mère, de sorte que ceux-ci ont, une nouvelle fois, été exposés de manière directe au conflit, comme relevé par le SPMi dans son courrier du 6 février 2019. Dans différentes écritures déposées devant les autorités civiles (notamment recours du 22 octobre 2018, requête de mesures provisionnelles du 21 août 2019 et appel du 12 juin 2020), l'appelant a sollicité l'audition de ses enfants, alors même qu'en novembre 2017 déjà, le Dr N______ mettait en garde contre les conséquences néfastes de toute audition supplémentaire de ceux-ci. Par conséquent, l'appelant, en ayant impliqué ses enfants dans le conflit parental, en particulier sa fille, en les ayant fait ou en ayant cherché à les faire témoigner au sens large, de manière durable et répétée, a clairement manqué à son devoir d'assistance et d'éducation, étant rappelé que les faits antérieurs au 1 er janvier 2014 ont été classés, dès lors qu'ils sont prescrits. 2.3.6. Ce comportement a eu des conséquences considérables sur les enfants. C______ et D______ ont souffert d'un grave conflit de loyauté (notamment expertise familiale du 24 février 2017, compte-rendu de l'infirmière scolaire du 10 janvier 2019, expertise de crédibilité du 6 septembre 2019 et déclarations de la curatrice du 7 mai 2021). Le risque d'aliénation parentale a également été relevé pour les deux enfants dans l'expertise familiale. L'experte Y______ a observé chez C______ un trouble des émotions, relevant qu'elle était légèrement hypomane, avec une tendance à la toute-puissance, sur le plan affectif et peu sécure. Le Dr Z______ a, quant à lui, précisé qu'elle présentait des angoisses de séparation. Toujours selon la psychiatre, s'agissant du comportement du père, l'enfant avait peur de ses réactions et ne savait comment lui plaire. Les symptômes dont elle souffrait trouvaient principalement leur source dans l'entêtement de l'intéressé à prouver la maltraitance de la mère, ce qui a aussi été observé par le Dr Z______, W______, O______ ou encore le SPMi dans son courrier du 6 février 2019. Les sollicitations du père démontraient qu'il ne privilégiait pas l'intérêt de ses enfants, étant encore relevé que la seule chose qui comptait à ses yeux était que sa fille révèle avoir été victime de maltraitance. S'agissant de D______, l'experte a précisé qu'il pourrait également souffrir d'un trouble des émotions si le conflit parental ne cessait pas. Aucun diagnostic de trouble spécifique n'a été posé le concernant (voir aussi rapport d'évaluation de l'OMP du 21 août 2019). Il présentait des angoisses de séparation qui n'entravaient toutefois pas son fonctionnement. La psychiatre a enfin précisé que si l'appelant n'entreprenait pas une thérapie de soutien à la parentalité, le petit garçon risquait d'être instrumentalisé et de souffrir d'aliénation parentale. 2.3.7. Ainsi, aux dires des experts, les troubles et/ou mises en danger du développement des enfants, s'ils relèvent également du conflit parental de manière large, sont principalement à mettre en lien avec les comportements obtus, voire obsessionnels, du prévenu. Ainsi, la Dresse Y______ a indiqué que le trouble de la personnalité observé chez le prévenu avait un impact non seulement sur son conflit avec son épouse, mais également sur ses compétences parentales. C'était bien son fonctionnement qui empêchait la mise en place d'une autorité parentale conjointe et c'était à lui d'entreprendre les démarches recommandées, au risque que les enfants ne se retrouvent aliénés et qu'ils ne puissent pas penser par eux-mêmes. Du reste, l'experte a relevé que les traits de la personnalité de la mère n'avaient aucun impact sur ses compétences parentales. Bien qu'en décembre 2019 le Dr AF______ n'ait quant à lui pas diagnostiqué de trouble chez l'appelant, puisque son fonctionnement était limité au domaine affectif, il a néanmoins révélé que l'attitude de l'expertisé entravait ses rapports avec les intervenants. Le SPMi a sollicité, le 6 février 2019, un changement de curateur, compte tenu de l'impossibilité de collaborer avec l'intéressé, qui plaçait ses enfants dans des situations hautement inconfortables. Ainsi, pour diminuer le risque de récidive, le Dr AF______ a estimé que le prévenu devait entamer un travail psychothérapeutique à même de lui faire prendre conscience de ses responsabilités dans le conflit parental. Il est manifeste que les souffrances subies par les enfants vont bien au-delà, que ce soit dans leur durée ou dans l'intensité, des souffrances que peuvent subir habituellement des enfants confrontés aux disputes de leurs parents et au divorce de ces derniers ; les différents experts confirment par ailleurs que ces souffrances sont imputables principalement à l’attitude de l’appelant et non à celle de la mère de l’appelant. Elles se sont concrétisées par un trouble diagnostiqué chez la fille de l’appelant. Si son fils ne présentait pas d’atteinte effective et médicalement diagnostiquée, les experts ont mis en évidence un risque concret que cet enfant développe lui aussi un trouble directement lié au comportement de l’appelant. En définitive et compte tenu des éléments précités, on doit constater que le comportement de l'appelant a placé ses enfants dans un grave conflit de loyauté, voire une possible aliénation parentale. Il a ainsi violé son devoir d'assistance et d'éducation en mettant gravement en danger le développement de ses deux enfants. 2.3.8. Au regard des nombreux intervenants dans le conflit et de leurs multiples avertissements (voir supra ch. 2.3.4), que l'appelant a admis avoir assimilés, il ne pouvait lui échapper que son comportement violait son devoir d'assistance et d'éducation et mettait en danger le développement psychique de ses enfants. En effet, il les a, de manière pleinement consciente, impliqués dans le conflit, en les amenant ainsi à devoir être entendus, à réitérées reprises, par les intervenants sociaux et médicaux, ainsi que par les autorités judiciaires, alors qu'aux dires de l'expert W______, il connaissait les conséquences et les mécanismes du conflit de loyauté, de sorte que, selon ses propres aveux, il fallait prendre les déclarations des enfants avec circonspection. Par ailleurs, selon les Drs AF______ et AE______, il avait les capacités cognitives nécessaires pour comprendre que le bien-être de ses enfants était mis en danger par le conflit. L'intention est donc réalisée, à tout le moins, sous forme de dol éventuel. 2.3.9. Au vu de ce qui précède, les conditions objectives et subjectives de l'infraction de violation du devoir d'assistance ou d'éducation (art. 219 al. 1 CP) sont réalisées. La condamnation du prévenu doit dès lors être confirmée et son 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Les nouvelles dispositions sur le droit des sanctions sont entrées en vigueur le 1 er janvier 2018. En l'espèce, la nouvelle mouture des art. 34 et 41 CP, prévoyant la possibilité de prononcer une peine pécuniaire de 180 jours-amende au plus, est plus favorable à l'appelant, dès lors que le prononcé d'une peine pécuniaire lui est acquis. Il sera ainsi fait application du nouveau droit des sanctions en vertu du principe de la lex mitior (art. 2 al. 2 CP).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3.1.4.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3.1.5. Aux termes de l'art. 51 CP, le juge impute sur la peine la détention avant jugement subie par l'auteur dans le cadre de l'affaire qui vient d'être jugée ou d'une autre procédure. La détention avant jugement doit être imputée sur la peine, indépendamment du fait que celle-ci soit assortie du sursis ou non et qu'il s'agisse d'une peine pécuniaire ou privative de liberté (ATF 141 IV 236 consid. 3.3 p. 239 ; 135 IV 126 consid. 1.3.6 p. 129).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L'intéressé n'a pas le droit de choisir entre les deux formes d'indemnisation (arrêt du Tribunal fédéral 6B_671/2016 du 17 mai 2017 consid. 1.1). 3.2.1. En l'espèce, l'appelant ne conteste pas, à juste titre, la peine prononcée par le premier juge, au-delà de l'acquittement plaidé. En effet, sa faute est importante. La Cour de céans retient que les enfants en bas âge ont non seulement été placés au cœur du conflit parental, mais encore qu'ils y ont été impliqués activement en ayant été forcés à témoigner au sens large, l'appelant reléguant derrière sa quête de la " vérité " l'intérêt de ceux-ci. Ce comportement, qui a persisté durant plus de six ans, a indéniablement impacté le bien-être de ses enfants. Incapable de se remettre en question, il a totalement nié les multiples avertissements des intervenants, tout en adoptant une attitude agressive à leur égard. La gravité de ces faits n'apparaît de toute évidence pas clairement à l'appelant, qui minimise encore les conséquences qu'a pu avoir son comportement sur le développement psychique de ses enfants et continue de rejeter la faute sur son ex-épouse, qu'il considère toujours comme maltraitante, en dépit des nombreux constats divergents. Du reste, le Centre de consultations R______ a récemment, en août 2021, mis fin aux rencontres thérapeutiques, en raison du comportement du prévenu, et la curatrice des enfants a encore relaté, devant le TP, qu'un incident s'était déroulé en 2021 entre C______ et son père, qui n'avait pas manqué de lui rappeler que sa mère l'avait frappée en Egypte en décembre 2018. A décharge, il faut retenir la souffrance générée par l'absence de ses enfants, qu'il n'a pas vus durant plusieurs mois pendant la période pénale, et le fait qu'il a été pris dans la tourmente du conflit conjugal. Il ne sera pas fait application de la circonstance atténuante de l'art. 48 let. e CP, dès lors que même si certains faits sont anciens, il ne peut être retenu que le prévenu s'est bien comporté dans l'intervalle. L'absence d'antécédent a un effet neutre sur la fixation de la peine. Dans la mesure où il ne s'agit pas d'un délit continu (voir supra ch. 2.2.7), chaque occurrence se trouve en concours réel parfait avec les autres, de sorte qu'il convient de fixer une peine d'ensemble en application du principe de l'aggravation contenu à l'art. 49 CP. Ayant à l'esprit les différents aspects susmentionnés, la CPAR juge que l'infraction de violation du devoir d'assistance ou d'éducation commise le 3 janvier 2019, la plus grave (cette violation a notamment conduit à une seconde audition EVIG de C______ et à son audition par un expert de crédibilité à deux reprises), doit, à elle-seule, être sanctionnée d'une peine de base de 90 jours-amende. Elle devrait être aggravée pour chacune des occurrences suivantes (notamment avril 2015, 4 septembre 2015, 9 juin et 31 octobre 2016). Compte tenu de l’interdiction de la reformatio in pejus (art. 391 al. 2 CPP), la peine pécuniaire de 150 jours-amende, manifestement clémente, telle qu'arrêtée par le premier juge, sera confirmée. Le montant du jour-amende, arrêté à CHF 60.-, est adéquat au regard de la situation financière du prévenu. L'octroi du sursis est acquis à l'appelant (art. 391 al. 2 CPP), de sorte qu'il sera confirmé. Un délai d'épreuve de quatre ans apparaît nécessaire et proportionné (art. 44 CP). La règle de conduite consistant en un suivi psychothérapeutique pendant cette durée sera également confirmée. En effet, comme l'a expliqué l'expert AF______, un tel traitement est nécessaire pour espérer réduire le risque de récidive. 3.2.2. Sur la peine prononcée sera imputée la durée des mesures de substitution. Le ratio dont le premier juge a tenu compte de 25% s'agissant de l'interdiction de tout contact avec les enfants n'est pas critiqué et apparaît même généreux, de sorte qu'il sera confirmé. Concernant la durée desdites mesures, le tribunal de première instance a retenu qu'elles avaient été exécutées durant 376 jours, alors qu'elles ont été, dans un premier temps, modifiées par l'ordonnance OTMC/3456/2019 du 23 septembre 2019 pour tenir compte de la convention signée entre les parties le 19 août précédent, puis levées par l'arrêt ACPR/84/2020 du 31 janvier 2020, ce qui représente en réalité 222, 352 jours, la restriction au droit de visite intervenue entre septembre 2019 et fin janvier 2020 découlant non pas des mesures de substitution mais bien d’une décision civile. Néanmoins, compte tenu de l'interdiction de la reformatio in pejus (art. 391 al. 2 CPP), les 94 jours imputés au titre de mesures de substitution seront confirmés. 3.2.3. Partant, dès lors que les mesures de substitution ont pu être imputées sur la peine, conformément à l'art. 51 CP, il n'y a pas lieu à indemnisation, malgré l'acquittement et le classement partiels dont a bénéficié le prévenu. 3.2.4. Il résulte de ce qui précède que le jugement de première instance sera intégralement confirmé.</w:t>
      </w:r>
    </w:p>
    <w:p>
      <w:r>
        <w:rPr>
          <w:b/>
        </w:rPr>
        <w:t>E. 4</w:t>
      </w:r>
    </w:p>
    <w:p>
      <w:r>
        <w:t>L’appelant, qui succombe, supportera 90% des frais de la procédure d'appel envers l'État (art. 428 CPP), lesquels comprendront un émolument de CHF 4'000.-. Le solde sera laissé à la charge de l’Etat, compte tenu du retrait de l’appel joint formé par le MP. Il n'y a pas lieu de revoir la répartition des frais de première instance.</w:t>
      </w:r>
    </w:p>
    <w:p>
      <w:r>
        <w:rPr>
          <w:b/>
        </w:rPr>
        <w:t>E. 5</w:t>
      </w:r>
    </w:p>
    <w:p>
      <w:r>
        <w:t>5.1.1.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5.1.2.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et CHF 100.- pour les chefs d’étude, dite rémunération étant allouée d'office par la juridiction d'appel pour les débats devant elle.</w:t>
      </w:r>
    </w:p>
    <w:p>
      <w:r>
        <w:rPr>
          <w:b/>
        </w:rPr>
        <w:t>E. 5.2</w:t>
      </w:r>
    </w:p>
    <w:p>
      <w:r>
        <w:t>En l'occurrence, l'activité développée entre les 30 mars et 2 juin 2022 par M e B______ ne saurait être rémunérée ni sous l'angle de l'assistance juridique, puisqu'il n'a été désigné défenseur d'office de A______ que le 13 juin suivant, ni sous celui du conseil privé, vu l'issue de l'appel (art. 429 al. 1 CPP a contrario ). Le temps consacré à l'audience d'appel sera par ailleurs réduit à 2h. En conclusion, la rémunération sera arrêtée à CHF 3'374.30, correspondant à 11h35 d'activité au tarif de CHF 200.-/heure (CHF 2'316.70), ainsi qu'à 1h30 au tarif de CHF 110.-/heure (CHF 165.-), plus la majoration forfaitaire de 20% (CHF 496.30), deux déplacements à CHF 100.-, respectivement à CHF 55.-, et l'équivalent de la TVA au taux de 7.7% en CHF 241.20.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