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P/11717/2024 vom 23. Mai 2024</w:t>
      </w:r>
    </w:p>
    <w:p>
      <w:r>
        <w:t>GE Cour de justice, 2024-05-23, FR</w:t>
      </w:r>
    </w:p>
    <w:p>
      <w:r>
        <w:rPr>
          <w:b/>
        </w:rPr>
        <w:t xml:space="preserve">Quelle: </w:t>
      </w:r>
      <w:r>
        <w:t>https://mcp.opencaselaw.ch/entscheid/ge_gerichte_P_11717_2024</w:t>
      </w:r>
    </w:p>
    <w:p>
      <w:r>
        <w:t>FR: GE_GERICHTE P/11717/2024 du 23 mai 2024</w:t>
      </w:r>
    </w:p>
    <w:p>
      <w:r>
        <w:t>IT: GE_GERICHTE P/11717/2024 del 23 maggio 2024</w:t>
      </w:r>
    </w:p>
    <w:p>
      <w:pPr>
        <w:pStyle w:val="Heading2"/>
      </w:pPr>
      <w:r>
        <w:t>Regeste</w:t>
      </w:r>
    </w:p>
    <w:p>
      <w:r>
        <w:t>PROFIL D'ADN;TRIBUNAL DES MINEURS;REPRÉSENTATION LÉGALE | CPP.255.al1.leta; PPMin.38; PPMin.39</w:t>
      </w:r>
    </w:p>
    <w:p>
      <w:pPr>
        <w:pStyle w:val="Heading2"/>
      </w:pPr>
      <w:r>
        <w:t>Erwägungen</w:t>
      </w:r>
    </w:p>
    <w:p>
      <w:r>
        <w:rPr>
          <w:b/>
        </w:rPr>
        <w:t>E. 1</w:t>
      </w:r>
    </w:p>
    <w:p>
      <w:r>
        <w:t>Le recours est recevable pour avoir été déposé selon la forme et dans le délai prescrits (art. 91 al. 4, 385 al. 1 et 396 al. 1 CPP cum art. 3 al. 1 et 39 al. 1 PPMin) – la date d'expédition du pli contenant l'acte de recours étant inconnue, faute d'enveloppe figurant au dossier, de sorte qu'il est impossible de déterminer si ledit pli est parvenu (par pli simple ou recommandé) à la Poste suisse dans le délai de 10 jours à compter de la notification de l'ordonnance querellée, soit le 15 juin au plus tard (art. 91 al. 2 CPP) –, concerner une ordonnance sujette à recours auprès de la Chambre de céans (art. 393 al. 1 let. a CPP cum art. 3 al. 1 et 39 al. 1 PPMin) et émaner de la représentante légale du mineur, laquelle est partie à la procédure et a qualité pour recourir (art. 382 al. 1 CPP cum art. 18 let. b, 38 al. 1 let. b et 3 PPMin; cf. aussi M. NIGGLI / M. HEER / H. WIPRÄCHTIGER (éds), Strafprozessordnung / Jugendstrafprozessordnung, Basler Kommentar StPO/JStPO , 2ème éd., Bâle 2014, n. 2 ad art. 39).</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Selon l'art. 255 al. 1 let. a CPP, l'établissement d'un profil d'ADN peut être ordonné sur le prévenu pour élucider le crime ou le délit sur lequel porte la procédure.</w:t>
      </w:r>
    </w:p>
    <w:p>
      <w:r>
        <w:rPr>
          <w:b/>
        </w:rPr>
        <w:t>E. 3.2</w:t>
      </w:r>
    </w:p>
    <w:p>
      <w:r>
        <w:t>L'ordonnance de prélèvement d'un échantillon d'ADN permet de récolter du matériel biologique sur une personne en vue de l'établissement d'un profil d'ADN. La police peut ordonner et effectuer le prélèvement non invasif d'échantillons (art. 255 al. 2 let. a CPP; ATF 141 IV 87 consid. 1.3.2; cf. Message du Conseil fédéral du 21 décembre 2005 relatif à l'unification du droit de la procédure pénale, FF 2005 1057 ss, ch. 2.5.5 p. 1223; arrêt du Tribunal fédéral 1B_568/2021 du 22 février 2022 consid. 3.1.2).</w:t>
      </w:r>
    </w:p>
    <w:p>
      <w:r>
        <w:rPr>
          <w:b/>
        </w:rPr>
        <w:t>E. 3.3</w:t>
      </w:r>
    </w:p>
    <w:p>
      <w:r>
        <w:t>L'art. 255 CPP ne permet pas le prélèvement routinier d'échantillons d'ADN et leur analyse, ce que concrétise l'art. 197 al. 1 CPP. Selon cette disposition, des mesures de contrainte ne peuvent être prises que si des soupçons suffisants laissent présumer une infraction (let. b), si les buts poursuivis ne peuvent pas être atteints par des mesures moins sévères (let. c) et si elles apparaissent justifiées au regard de la gravité de l'infraction (let. d). Les antécédents doivent également être pris en compte. Cependant, l'absence d'antécédents n'exclut pas en soi l'établissement d'un profil d'ADN (ATF 147 I 372 précité consid. 2.1; ATF 145 IV 263 consid. 3.4; arrêts du Tribunal fédéral 1B_230/2022 du 7 septembre 2022 consid. 2.2 et 7B_152/2023 du 2 juillet 2024 consid. 2.1.1).</w:t>
      </w:r>
    </w:p>
    <w:p>
      <w:r>
        <w:rPr>
          <w:b/>
        </w:rPr>
        <w:t>E. 3.4</w:t>
      </w:r>
    </w:p>
    <w:p>
      <w:r>
        <w:t>En l'espèce, l'établissement du profil d'ADN a été ordonné par le Juge des mineurs sur la base de l'art. 255 al. 1 CPP pour élucider les infractions sur lesquelles portent la présente procédure, soit principalement de violation de domicile, tentative de vol et vol. Des prélèvements ont été effectués par la police sur le fourgon, à l'intérieur de celui-ci et sur les plaques d'immatriculation (volées) apposées sur ledit véhicule. Or, le profil du prévenu a pu être mis en évidence notamment sur lesdites plaques avant et arrière ainsi que sur leur support, ce qui semble contredire la version de l'intéressé selon laquelle il ignorait que le fourgon était volé et que ce serait le dénommé I______ qui aurait amené les plaques. L'acte entrepris se justifie ainsi pour les besoins de l'enquête visant à circonscrire le rôle et l'implication du prévenu. Les arguments avancés par la recourante ne sont pas pertinents ici et devront, le cas échéant être soulevés devant l'autorité de jugement.</w:t>
      </w:r>
    </w:p>
    <w:p>
      <w:r>
        <w:rPr>
          <w:b/>
        </w:rPr>
        <w:t>E. 4</w:t>
      </w:r>
    </w:p>
    <w:p>
      <w:r>
        <w:t>Justifiée, l'ordonnance querellée sera donc confirmée et le recours, rejeté.</w:t>
      </w:r>
    </w:p>
    <w:p>
      <w:r>
        <w:rPr>
          <w:b/>
        </w:rPr>
        <w:t>E. 5</w:t>
      </w:r>
    </w:p>
    <w:p>
      <w:r>
        <w:t>La recourante, qui succombe, supportera les frais envers l'État, qui seront arrêtés à CHF 300.- pour tenir compte de sa situation financière qui ne paraît pas favorable (art. 428 al. 1 CPP cum art. 3 al. 1 PPMin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