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P/11693/2023 vom 8. Mai 2024</w:t>
      </w:r>
    </w:p>
    <w:p>
      <w:r>
        <w:t>GE Cour de justice, 2024-05-08, FR</w:t>
      </w:r>
    </w:p>
    <w:p>
      <w:r>
        <w:rPr>
          <w:b/>
        </w:rPr>
        <w:t xml:space="preserve">Quelle: </w:t>
      </w:r>
      <w:r>
        <w:t>https://mcp.opencaselaw.ch/entscheid/ge_gerichte_P_11693_2023</w:t>
      </w:r>
    </w:p>
    <w:p>
      <w:r>
        <w:t>FR: GE_GERICHTE P/11693/2023 du 8 mai 2024</w:t>
      </w:r>
    </w:p>
    <w:p>
      <w:r>
        <w:t>IT: GE_GERICHTE P/11693/2023 del 8 maggio 2024</w:t>
      </w:r>
    </w:p>
    <w:p>
      <w:pPr>
        <w:pStyle w:val="Heading2"/>
      </w:pPr>
      <w:r>
        <w:t>Regeste</w:t>
      </w:r>
    </w:p>
    <w:p>
      <w:r>
        <w:t>ORDONNANCE DE NON-ENTRÉE EN MATIÈRE;QUALITÉ POUR AGIR ET RECOURIR;FAUX TÉMOIGNAGE;COMPÉTENCE RATIONE LOCI;DIFFAMATION;CALOMNIE;DROIT D'ÊTRE ENTENDU | CPP.310.al1.leta; CPP.382.al1; CP.307; CP.173; CP.174; CP.3.al1; CP.8.al1; Cst</w:t>
      </w:r>
    </w:p>
    <w:p>
      <w:pPr>
        <w:pStyle w:val="Heading2"/>
      </w:pPr>
      <w:r>
        <w:t>Erwägungen</w:t>
      </w:r>
    </w:p>
    <w:p>
      <w:r>
        <w:rPr>
          <w:b/>
        </w:rPr>
        <w:t>E. 1.1</w:t>
      </w:r>
    </w:p>
    <w:p>
      <w:r>
        <w:t>Le recours a été déposé selon la forme et – faute de notification conforme à l'art. 85 al. 2 CPP – dans le délai prescrits (art. 385 al. 1 et 396 al. 1 CPP), concerne une ordonnance sujette à recours auprès de la Chambre de céans (art. 393 al. 1 let. a CPP) et émane des plaignants, qui sont parties à la procédure (art. 104 al. 1 let. b CPP).</w:t>
      </w:r>
    </w:p>
    <w:p>
      <w:r>
        <w:rPr>
          <w:b/>
        </w:rPr>
        <w:t>E. 1.2</w:t>
      </w:r>
    </w:p>
    <w:p>
      <w:r>
        <w:t>Il convient cependant d'examiner si les recourants disposent de la qualité pour recourir en tant qu'ils contestent le refus du Ministère public d'entrer en matière sur l'infraction visée à l'art. 307 CP.</w:t>
      </w:r>
    </w:p>
    <w:p>
      <w:r>
        <w:rPr>
          <w:b/>
        </w:rPr>
        <w:t>E. 1.2.1</w:t>
      </w:r>
    </w:p>
    <w:p>
      <w:r>
        <w:t>Seule la partie qui a un intérêt juridiquement protégé à l’annulation d’un prononcé est habilitée à quereller celui-ci (art. 382 al. 1 CPP). Tel est, en particulier, le cas du lésé qui déclare expressément vouloir participer à la procédure pénale (art. 118 al. 1 CPP). La notion de lésé est définie à l'art. 115 CPP; il s'agit de toute personne dont les droits ont été touchés directement par une infraction, c’est-à-dire le titulaire du bien juridique protégé par la disposition pénale qui a été enfreinte (ATF 147 IV 269 consid. 3.1; arrêt du Tribunal fédéral 1B_669/2021 du 8 mars 2022 consid. 3.1).</w:t>
      </w:r>
    </w:p>
    <w:p>
      <w:r>
        <w:rPr>
          <w:b/>
        </w:rPr>
        <w:t>E. 1.2.2</w:t>
      </w:r>
    </w:p>
    <w:p>
      <w:r>
        <w:t>L'art. 307 CP protège en première ligne l'intérêt collectif, à savoir l'administration de la justice, et seulement de manière secondaire les intérêts de particuliers, lesquels doivent exposer en quoi leurs intérêts privés ont été effectivement touchés par le faux témoignage – leur préjudice devant apparaître comme étant la conséquence de cette infraction. À défaut, leur acte est irrecevable (arrêt du Tribunal fédéral 6B_92/2018 du 17 mai 2018 consid. 2.1 et 2.2).</w:t>
      </w:r>
    </w:p>
    <w:p>
      <w:r>
        <w:rPr>
          <w:b/>
        </w:rPr>
        <w:t>E. 1.2.3</w:t>
      </w:r>
    </w:p>
    <w:p>
      <w:r>
        <w:t>En l'espèce, les recourants s'estiment lésés, dans l'administration des preuves, par les accusations, selon eux, mensongères proférées à leur encontre par le témoin lors de son audition à la police du 1 er mars 2023, dans le cadre de la procédure d'entraide sollicitée par les autorités slovaques. Toutefois, les recourants n'allèguent pas que la procédure pénale devant cette autorité serait terminée. Or, le Tribunal fédéral a, à plusieurs occasions, rappelé que lorsque le litige à l'origine de la dénonciation pénale n'est pas encore terminé, on ignore si les prétendues fausses déclarations en justice auront ou non une quelconque influence sur le jugement à rendre. S'agissant, à ce stade, de pures conjectures, il n'y a pas de lien de causalité direct entre les déclarations incriminées et le préjudice allégué, l'intéressé ne subissant aucune conséquence dommageable du fait des déclarations proférées (ATF 123 IV 184 consid. 1c p. 189; arrêts 1B_649/2012 du 11 septembre 2013). Pour le surplus, les recourants n'exposent pas en quoi ces déclarations prétendument mensongères auraient touché leurs droits, notamment leur liberté, leur honneur ou leur patrimoine, ceux-ci se limitant à soutenir que ces affirmations étaient " fondamentales " dans l'existence et le maintien des poursuites pénales ouvertes à leur encontre, en Slovaquie et en République Tchèque. Dans ces conditions, l'infraction de faux témoignage dénoncée n'apparaît pas susceptible de léser directement les recourants A______, B______ et C______ dans un intérêt personnel et juridiquement protégé, de sorte que la qualité pour recourir doit leur être déniée. Quant à D______ S.R.O., elle ne semble pas, à la lecture de l'acte de recours, faire l'objet de poursuites pénales devant les autorités slovaques. Tel est donc a fortiori le cas pour elle. Le recours est ainsi irrecevable sur ce point. Il s'ensuit que la question de la compétence des autorités pénales helvétiques pour poursuivre cette infraction peut demeurer ouverte.</w:t>
      </w:r>
    </w:p>
    <w:p>
      <w:r>
        <w:rPr>
          <w:b/>
        </w:rPr>
        <w:t>E. 1.3</w:t>
      </w:r>
    </w:p>
    <w:p>
      <w:r>
        <w:t>Le recours est recevable pour le surplus. En effet, la qualité pour agir des recourants est donnée s'agissant du refus d'entrer en matière sur les infractions de diffamation et de calomnie dénoncées, ceux-ci étant titulaires du bien juridiquement protégé – l'honneur – par ces normes.</w:t>
      </w:r>
    </w:p>
    <w:p>
      <w:r>
        <w:rPr>
          <w:b/>
        </w:rPr>
        <w:t>E. 1.4</w:t>
      </w:r>
    </w:p>
    <w:p>
      <w:r>
        <w:t>Les pièces nouvelles produites devant la juridiction de céans sont également recevables, la jurisprudence admettant la production de faits et de moyens de preuve nouveaux en deuxième instance (arrêt du Tribunal fédéral 1B_550/2022 du 17 novembre 2022 consid. 2.2).</w:t>
      </w:r>
    </w:p>
    <w:p>
      <w:r>
        <w:rPr>
          <w:b/>
        </w:rPr>
        <w:t>E. 2</w:t>
      </w:r>
    </w:p>
    <w:p>
      <w:r>
        <w:t>La question de l'existence d'un for en Suisse se pose s'agissant des infractions de diffamation et de calomnie alléguées.</w:t>
      </w:r>
    </w:p>
    <w:p>
      <w:r>
        <w:rPr>
          <w:b/>
        </w:rPr>
        <w:t>E. 2.1</w:t>
      </w:r>
    </w:p>
    <w:p>
      <w:r>
        <w:t>Aux termes de l'art. 3 al. 1 CP, le code pénal suisse est applicable à quiconque commet un crime ou un délit en Suisse. Cette disposition reprend le principe de base applicable en droit pénal international qui est celui de la territorialité, en vertu duquel les auteurs d'infractions sont soumis à la juridiction du pays où elles ont été commises (ATF 121 IV 145 consid. 2b/bb; arrêt du Tribunal fédéral 6B_21/2009 du 19 mai 2009 consid. 1.1). Un crime ou un délit est réputé commis tant au lieu où l'auteur a agi ou aurait dû agir qu'au lieu où le résultat s'est produit (art. 8 al. 1 CP). Le lieu où l'auteur a agi ou aurait dû agir est le lieu où il a réalisé l'un des éléments constitutifs de l'infraction. Il suffit qu'il réalise une partie – voire un seul – des actes constitutifs sur le territoire suisse ; le lieu où il décide de commettre l'infraction ou le lieu où il réalise les actes préparatoires (non punissables) ne sont toutefois pas pertinents (ATF 144 IV 265 consid. 2.7.2). 2.2.1. L'art. 173 ch. 1 CP réprime le comportement de quiconque, en s'adressant à un tiers, accuse une personne ou jette sur elle le soupçon de tenir une conduite contraire à l'honneur, ou de tout autre fait propre à porter atteinte à sa considération, de même que quiconque propage une telle accusation ou un tel soupçon. 2.2.2. La calomnie (art. 174 CP) est une forme qualifiée de diffamation, dont elle se distingue par le fait que les allégations propagées sont fausses (arrêt du Tribunal fédéral 6B_1215/2020 du 22 avril 2021 consid. 3.1). 2.2.3. Les délits contre l'honneur sont des délits de mise en danger abstrait. Ils sont consommés dès qu'un tiers prend connaissance de la déclaration portant atteinte à l'honneur (ATF 125 IV 177 consid. 3a ; plus récemment, arrêt du Tribunal fédéral 6B_69/2016 du 29 septembre 2016 consid. 2.3.1). La réception ou la perception du contenu en question caractérisent par conséquent le résultat typique inhérent à la consommation de l'infraction de communication (arrêt du Tribunal fédéral 6B_313/2023 du 23 octobre 2023 consid. 4.1 et les références citées).</w:t>
      </w:r>
    </w:p>
    <w:p>
      <w:r>
        <w:rPr>
          <w:b/>
        </w:rPr>
        <w:t>E. 2.3</w:t>
      </w:r>
    </w:p>
    <w:p>
      <w:r>
        <w:t>Dans le cas d'espèce, le mis en cause, de nationalité suisse, est domicilié en Suisse et y a été entendu comme témoin, de sorte que la communication des propos litigieux a été faite en Suisse à des personnes qui en ont pris connaissance en ce lieu. Il est dès lors constant que le lieu de commission des faits dénoncés se situe en Suisse; peu importe que la mesure d'instruction ait été exécutée, par les autorités helvétiques, à la demande des autorités slovaques. Partant, il existe un rattachement territorial avec la Suisse, fondé sur le lieu de commission au sens de l'art. 8 al. 1 CP. Les autorités judiciaires pénales suisses sont donc compétentes pour poursuivre – si elles s'avèrent commises – les infractions aux art. 173 et 174 CP dénoncées par les recourants.</w:t>
      </w:r>
    </w:p>
    <w:p>
      <w:r>
        <w:rPr>
          <w:b/>
        </w:rPr>
        <w:t>E. 3</w:t>
      </w:r>
    </w:p>
    <w:p>
      <w:r>
        <w:t>Les recourants invoquent une violation de leur droit d'être entendus, les ordonnances querellées étant, selon eux, lacunaires.</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L'autorité doit ainsi mentionner, au moins brièvement, les motifs qui l'ont guidé et sur lesquels elle a fondé son prononcé. Elle n'a toutefois pas l'obligation d'exposer et de discuter tous les faits, moyens de preuve et griefs invoqués par les parties, mais peut se limiter à l'examen des questions décisives pour l'issue du litige. La motivation peut d'ailleurs être implicite et résulter des différents considérants de la décision (ATF 143 III 65 consid. 5.3; arrêt du Tribunal fédéral 6B_5/2022 du 8 juin 2022 consid. 2.1.1). Une autorité se rend coupable d'un déni de justice formel également prohibé par l'art. 29 al. 2 Cst. si elle omet de se prononcer sur des griefs qui présentent une certaine pertinence ou de prendre en considération des allégués et arguments importants pour la décision à prendre (ATF 138 V 125 consid. 2.1 p. 127).</w:t>
      </w:r>
    </w:p>
    <w:p>
      <w:r>
        <w:rPr>
          <w:b/>
        </w:rPr>
        <w:t>E. 3.2</w:t>
      </w:r>
    </w:p>
    <w:p>
      <w:r>
        <w:t>Le droit d'être entendu est un grief d'ordre formel, dont la violation entraîne l'annulation de la décision attaquée indépendamment des chances de succès de recours sur le fond. Une violation du droit d'être entendu peut toutefois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137 I 195 consid. 2.2 et 2.3.2), ce qui est le cas pour l'autorité de recours (art. 391 al. 1 CPP; arrêt du Tribunal fédéral 1B_574/2020 du 3 décembre 2020 consid. 4.1). Une telle réparation dépend de la gravité et de l'étendue de l'atteinte portée au droit d'être entendu et doit rester l'exception (ATF 135 I 276 consid. 2.6.1).</w:t>
      </w:r>
    </w:p>
    <w:p>
      <w:r>
        <w:rPr>
          <w:b/>
        </w:rPr>
        <w:t>E. 3.3</w:t>
      </w:r>
    </w:p>
    <w:p>
      <w:r>
        <w:t>Si une garantie procédurale n'a pas été respectée, il convient, autant que possible, de remettre la personne lésée dans la situation qui aurait été la sienne si l'exigence en cause n'avait pas été méconnue ; en matière de violation du droit d'être entendu, la réparation consiste à renvoyer le dossier à l'autorité intimée pour qu'elle rende une nouvelle décision ( ACPR/658/2023 du 21 août 2023 consid. 2.2).</w:t>
      </w:r>
    </w:p>
    <w:p>
      <w:r>
        <w:rPr>
          <w:b/>
        </w:rPr>
        <w:t>E. 3.4</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précité ; ATF 143 IV 241 consid. 2.2.1; 138 IV 86 consid. 4.1; et 137 IV 219 consid. 7).</w:t>
      </w:r>
    </w:p>
    <w:p>
      <w:r>
        <w:rPr>
          <w:b/>
        </w:rPr>
        <w:t>E. 3.5</w:t>
      </w:r>
    </w:p>
    <w:p>
      <w:r>
        <w:t>En l'occurrence, le Ministère public ne consacre aucun développement aux art. 173 et 174 CP dans les ordonnances querellées, affirmant seulement – en lien avec l'infraction de faux témoignage (art. 307 CP) – qu'en l'absence d'une compétence à raison du lieu des autorités helvétiques, il est décidé de ne pas entrer en matière sur " les faits dénoncés par les parties plaignantes (art. 310 al. 1 let. b CPP) ". Or, s'il estimait que la compétence ratione loci des autorités suisses faisait également défaut pour traiter des dispositions précitées, ce qui n'est pas le cas (cf. consid 2.3 supra ), ou que les éléments constitutifs de ces infractions n'étaient pas réunis, le Ministère public pouvait et devait encore exposer son raisonnement – même bref – permettant de comprendre en quoi il considérait qu'une non-entrée en matière se justifiait sur ces aspects, indépendants de l'infraction de faux témoignage. Les observations du Ministère public sur recours restent, en outre, muettes sur ces points. En agissant ainsi, l'autorité précédente est contrevenue à son obligation de motivation garantie par l'art. 29 Cst., laquelle n'a pas été réparée par-devant la Chambre de céans, qui n'est ainsi pas en mesure d'exercer son contrôle. De ce fait, et conformément au principe du double degré de juridiction, les décisions querellées seront annulées et la cause renvoyée à l'autorité précédente pour qu'elle motive sa position. Le recours sera donc admis sur ce point.</w:t>
      </w:r>
    </w:p>
    <w:p>
      <w:r>
        <w:rPr>
          <w:b/>
        </w:rPr>
        <w:t>E. 4</w:t>
      </w:r>
    </w:p>
    <w:p>
      <w:r>
        <w:t>Les recourants succombent en partie. Partant, ils seront condamnés à supporter la moitié des frais de la procédure, fixés en totalité à CHF 1'500.- (art. 428 al. 1 CPP et art. 3 cum 13 al. 1 du Règlement fixant le tarif des frais en matière pénale, RTFMP; E 4 10.03).</w:t>
      </w:r>
    </w:p>
    <w:p>
      <w:r>
        <w:rPr>
          <w:b/>
        </w:rPr>
        <w:t>E. 5</w:t>
      </w:r>
    </w:p>
    <w:p>
      <w:r>
        <w:t>Les recourants, parties plaignantes qui obtiennent en partie gain de cause, ont requis le versement d'une équitable indemnité au sens de l'art. 433 al. 2 CPP, applicable en instance de recours (art. 436 al. 1 CPP), mais, faute de l'avoir chiffrée et justifiée, il ne sera pas entré en matière sur cette conclusion (arrêt du Tribunal fédéral 6B_1345/2016 du 30 novembre 2017 consid. 7.2).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