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P/11670/2012 vom 30. Mai 2013</w:t>
      </w:r>
    </w:p>
    <w:p>
      <w:r>
        <w:t>GE Cour de justice, 2013-05-30, FR</w:t>
      </w:r>
    </w:p>
    <w:p>
      <w:r>
        <w:rPr>
          <w:b/>
        </w:rPr>
        <w:t xml:space="preserve">Quelle: </w:t>
      </w:r>
      <w:r>
        <w:t>https://mcp.opencaselaw.ch/entscheid/ge_gerichte_P_11670_2012</w:t>
      </w:r>
    </w:p>
    <w:p>
      <w:r>
        <w:t>FR: GE_GERICHTE P/11670/2012 du 30 mai 2013</w:t>
      </w:r>
    </w:p>
    <w:p>
      <w:r>
        <w:t>IT: GE_GERICHTE P/11670/2012 del 30 maggio 2013</w:t>
      </w:r>
    </w:p>
    <w:p>
      <w:pPr>
        <w:pStyle w:val="Heading2"/>
      </w:pPr>
      <w:r>
        <w:t>Regeste</w:t>
      </w:r>
    </w:p>
    <w:p>
      <w:r>
        <w:t>FIXATION DE LA PEINE; SURSIS PARTIEL À L'EXÉCUTION DE LA PEINE | CP.47; CP.43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L’art. 406 al. 1 let. b CPP prévoit que la juridiction d’appel peut traiter celui-ci par la voie de la procédure écrite dans l’hypothèse où seuls des points de droit doivent être tranchés. Tel est le cas en l’occurrence, l’appelant se prévalant du principe de l’égalité de traitement et du fait que les premiers juges n’auraient pas donné suffisamment de poids à des éléments résultant du dossier. La seule circonstance nouvelle réside dans le fait que l’appelant affirme travailler depuis le mois de janvier 2013 et fréquenter l’aumônerie. Ces faits ne nécessitent cependant pas d’instruction, la CPAR n’ayant aucune raison de douter de leur véracité, d’autant qu’ils n’ont rien de surprenant. Certes, dans l’arrêt 6B_114/2012 du 18 février 2013 cité par l’appelant, le Tribunal fédéral a jugé que la Cour de cassation vaudoise, appelée à fixer à nouveau une peine en qualité d’autorité d’appel suite à l’entrée en vigueur du CPP, aurait dû fixer des débats afin d’actualiser la situation du prévenu. Toutefois, en l’occurrence, il ne résulte ni du dossier ni des écritures de l’appelant que sa situation nécessiterait d’être actualisée. Il n’est par conséquent pas nécessaire de fixer une audience pour l’entendre personnellement.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rPr>
          <w:b/>
        </w:rPr>
        <w:t>E. 3.4</w:t>
      </w:r>
    </w:p>
    <w:p>
      <w:r>
        <w:t>En l’occurrence, la faute de l’appelant est grave. Celui-ci a participé à un trafic international de stupéfiants portant sur une quantité de drogue tombant sous le coup de l’aggravante de l’art. 19 al. 2 LStup. De son propre aveu, il n’a jamais éprouvé le moindre doute sur l’objet de sa mission. Pire : il ne soutient pas avoir cédé à des pressions ou à un démarchage assidu mais reconnaît avoir lui-même proposé ses services à son commanditaire. Il n’était certes qu’un simple transporteur, qui s’est exposé à un risque sérieux pour sa propre santé pour avoir ingéré la drogue outre au risque d’arrestation. Il bénéficiait cependant de la confiance de son commanditaire, celui-ci lui ayant confié la drogue et la tâche d’organiser lui-même son voyage, sans autre surveillance semble-t-il. Le nombre de doigts ingérés est une indication d’une détermination forte, s’agissant d’une opération pour le moins pénible, nécessitant usuellement une certaine expérience. A sa décharge, il faut cependant retenir qu’il s’est agi d’un transport unique, le soupçon planant sur ses précédents voyages en Suisse n’ayant été investigué davantage. Le mobile de l’appelant était celui de l’appât du gain au mépris de la santé des consommateurs, étant observé que contrairement à ce qu’il soutient, la rémunération évoquée n’était pas dérisoire, dépassant un mois de salaire moyen dans plusieurs pays d’Europe. Il ne peut se prévaloir d’une bonne collaboration, n’ayant dévoilé aucune circonstance qui aurait permis de poursuivre l’enquête en Suisse ou à l’étranger afin d’identifier les membres du réseau. Il n’a pas d’antécédents, étant rappelé qu’il s’agit là d’un facteur neutre dans la détermination de la peine (ATF 136 IV 1 ). La situation personnelle de l’appelant ne laisse d’aucune façon comprendre son passage à l’acte. Il n’était pas consommateur, vivait dans son pays d’origine, ce qui lui conférait une certaine sécurité, a effectué des études secondaires, acquis une formation et avait la responsabilité d’une famille. Certes, ne bénéficiant que de l’aide sociale, sa situation n’était pas prospère, mais elle ne saurait être qualifiée de misérable non plus. L’appelant n’est guère crédible lorsqu’il soutient que la naissance de son bébé aurait été le facteur déclenchant d’un amendement, étant rappelé que la grossesse était déjà en cours lorsqu’il a commis les faits et que l’existence de sa fille aînée ne l’en n’a pas davantage dissuadé. Le travail en prison et la fréquentation de l’aumônerie sont des éléments positifs, permettant d’espérer que la sanction fait son effet, mais ne vont pas au-delà des efforts ordinaires attendus de tout condamné, eu égard au but de réinsertion poursuivi par la peine privative de liberté. Conformément à la jurisprudence citée plus haut, les références de l’appelant à deux autres cas ne sont d’aucune utilité. Comme le souligne à juste titre le Ministère public, il ne saurait être question de procéder à des comparaisons sur la seule base des quantités en cause, sans préjudice du fait que les peines prononcées dans ces deux cas ne sont pas plus clémentes. Il convient bien plutôt de fixer la peine au regard de l’ensemble des circonstances du cas d’espèce. Or, en l’occurrence, celles-ci font que la peine privative de liberté de trois ans prononcée par les premiers juges est adéquate et devra être confirmée.</w:t>
      </w:r>
    </w:p>
    <w:p>
      <w:r>
        <w:rPr>
          <w:b/>
        </w:rPr>
        <w:t>E. 4</w:t>
      </w:r>
    </w:p>
    <w:p>
      <w:r>
        <w:t>4.1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w:t>
      </w:r>
    </w:p>
    <w:p>
      <w:r>
        <w:rPr>
          <w:b/>
        </w:rPr>
        <w:t>E. 4.2</w:t>
      </w:r>
    </w:p>
    <w:p>
      <w:r>
        <w:t>Comme retenu ci-avant, la faute est grave. Les perspectives relatives au comportement futur restent toutefois plutôt bonnes, l’appelant n’ayant aucun antécédent et des conditions de vie plutôt stables ; le seul signal d’alarme réside dans la facilité et la détermination avec lesquelles il est passé à l’acte. Il est donc possible de penser que l’expérience de la sanction encourue le détournera de poursuivre sur la voie de la criminalité. Dans ces circonstances, il ne s’imposait pas de fixer la partie ferme de la peine au maximum légal, une durée de 12 mois paraissant plus appropriée. Celle du délai d’épreuve est en revanche adéquate, s’agissant d’assurer une meilleure effectivité de la menace de la révocation, vu le signal d’alarme précité. L’appel sera donc admis dans cette mesure et le jugement réformé.</w:t>
      </w:r>
    </w:p>
    <w:p>
      <w:r>
        <w:rPr>
          <w:b/>
        </w:rPr>
        <w:t>E. 5</w:t>
      </w:r>
    </w:p>
    <w:p>
      <w:r>
        <w:t>L'appelant, qui succombe en majeure partie, supportera les deux tiers des frais de la procédure envers l'État (art. 428 CPP), lesquels comprendront un émolument de CHF 1'500.–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