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P/11664/2011 vom 30. August 2012</w:t>
      </w:r>
    </w:p>
    <w:p>
      <w:r>
        <w:t>GE Cour de justice, 2012-08-30, FR</w:t>
      </w:r>
    </w:p>
    <w:p>
      <w:r>
        <w:rPr>
          <w:b/>
        </w:rPr>
        <w:t xml:space="preserve">Quelle: </w:t>
      </w:r>
      <w:r>
        <w:t>https://mcp.opencaselaw.ch/entscheid/ge_gerichte_P_11664_2011</w:t>
      </w:r>
    </w:p>
    <w:p>
      <w:r>
        <w:t>FR: GE_GERICHTE P/11664/2011 du 30 août 2012</w:t>
      </w:r>
    </w:p>
    <w:p>
      <w:r>
        <w:t>IT: GE_GERICHTE P/11664/2011 del 30 agosto 2012</w:t>
      </w:r>
    </w:p>
    <w:p>
      <w:pPr>
        <w:pStyle w:val="Heading2"/>
      </w:pPr>
      <w:r>
        <w:t>Regeste</w:t>
      </w:r>
    </w:p>
    <w:p>
      <w:r>
        <w:t>; INFRACTIONS CONTRE LE PATRIMOINE ; BRIGANDAGE ; VOL(DROIT PÉNAL) ; FIXATION DE LA PEINE | CP.140; CP.139; CP.47</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En l’espèce, X______ conteste avoir commis un brigandage et entend être condamné à une peine privative de liberté tout en bénéficiant du sursis partiel. Y______ conteste le degré de sa participation à tous les actes dont il a été reconnu coupable ainsi que la qualification de brigandage et la quotité de la peine.</w:t>
      </w:r>
    </w:p>
    <w:p>
      <w:r>
        <w:rPr>
          <w:b/>
        </w:rPr>
        <w:t>E. 2</w:t>
      </w:r>
    </w:p>
    <w:p>
      <w:r>
        <w:t>Le principe in dubio pro reo , qui découle de la présomption d'innocence, garantie par l'art. 6 ch. 2 CEDH et, sur le plan interne, par les art. 32 al. 1 Cst. et 10 al. 3 CPP, concerne tant le fardeau de la preuve que l'appréciation des preuves.</w:t>
      </w:r>
    </w:p>
    <w:p>
      <w:r>
        <w:rPr>
          <w:b/>
        </w:rPr>
        <w:t>E. 2.1</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rPr>
          <w:b/>
        </w:rPr>
        <w:t>E. 2.2</w:t>
      </w:r>
    </w:p>
    <w:p>
      <w:r>
        <w:t>Les parties se disputent sur la qualification d’arme dangereuse au sens de l’art. 140 ch. 2 du Code pénal suisse, du 21 décembre 1937 (CP ; RS 311.0) à propos du spray utilisé le 30 juin 2011, lors d’un cambriolage au Petit-Lancy. Ledit spray ne figure pas au nombre des objets saisis par la police judiciaire et le dossier ne comporte pas de descriptif précis de cet objet, ni d’autres indices de sa nature exacte. Savoir dès lors si ce spray pouvait être qualifié d’arme au sens de la loi fédérale du 20 juin 1997 sur les armes, les accessoires d’armes et les munitions et de la réglementation d’exécution (RS 514.54), voire d’arme dangereuse au sens de l’art. 140 ch. 2 CP, relève de conjectures qui ne sauraient fonder un verdict de culpabilité. Pour ce motif, la circonstance aggravante de l’art. 140 ch. 2 CP ne saurait être appliquée aux deux prévenus.</w:t>
      </w:r>
    </w:p>
    <w:p>
      <w:r>
        <w:rPr>
          <w:b/>
        </w:rPr>
        <w:t>E. 3</w:t>
      </w:r>
    </w:p>
    <w:p>
      <w:r>
        <w:t>À teneur de l’art. 140 ch. 1 al. 1 er et 2 CP, le brigandage s’entend notamment de l’usage de la violence à l’égard d’une personne pour commettre un vol ou pour conserver la chose volée. S’agissant de la seconde hypothèse, la notion de recours à un moyen de contrainte s’applique à l’auteur qui a perpétré un vol et qui, découvert en flagrant délit sur les lieux ou à proximité immédiate, veut ainsi conserver son butin (G. STRATENWERTH / B. JENNY / F. BOMMER, Schweizerisches Strafrecht, Besonderer Teil I : Straftaten gegen Individualinteressen , 7 e éd., Berne 2010, p. 343) ; d’autres auteurs considèrent que la contrainte exercée peut servir à la conservation du butin et à protéger la fuite des brigands (M. NIGGLI / H. WIPRÄCHTIGER, Basler Kommentar Strafrecht II : Art. 111-392 StGB , 2 e éd., Bâle 2007, n° 44-46 ad art. 140). En l’espèce, X______ a déclaré s’être muni d’un spray au poivre avant de commettre le cambriolage litigieux, circonstance connue de son comparse selon lui. Ils avaient donc l’un et l’autre le dessein de commettre un brigandage, à tout le moins au degré du dol éventuel, les dénégations de Y______ quant à l’existence dudit spray ne convainquant guère ; au demeurant, le Ministère public a retenu que X______ et Y______ agissaient « de concert », ce que le dernier nommé ne conteste pas. Au retour de la partie plaignante, les deux appelants étaient munis de deux sacs, l’un contenant des objets volés et l’autre du matériel de cambriolage. X______ a admis devant le Procureur en charge du dossier être sorti de l’appartement à ce moment et que Y______ fuyait par les escaliers en emportant tant les objets volés que le matériel utile aux cambriolages. La partie plaignante ayant reconnu son appareil de photo dépassant d’un sac, elle s’en empara après une bousculade, puis fut la victime d’une projection de gaz et reçut des coups. Les appelants ne sauraient donc prétendre que le recours au spray au poivre et les coups donnés procèdent de simples voies de fait, auxquelles l’art. 140 ch. 1 al. 2 CP serait inapplicable ; il faut retenir au contraire que l’ensemble de ces faits s’inscrit dans une seule et même séquence, les deux prévenus ayant commis un vol puis, étant découverts en flagrant délit, usé de violence pour protéger leur fuite et leur butin. Il n’y a donc pas lieu de suivre les appelants en leurs conclusions tendant à un acquittement s’agissant du chef de brigandage.</w:t>
      </w:r>
    </w:p>
    <w:p>
      <w:r>
        <w:rPr>
          <w:b/>
        </w:rPr>
        <w:t>E. 4</w:t>
      </w:r>
    </w:p>
    <w:p>
      <w:r>
        <w:t>Y______ conteste en outre le degré de sa participation aux cambriolages pour lesquels il a été reconnu coupable.</w:t>
      </w:r>
    </w:p>
    <w:p>
      <w:r>
        <w:rPr>
          <w:b/>
        </w:rPr>
        <w:t>E. 4.1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4.2</w:t>
      </w:r>
    </w:p>
    <w:p>
      <w:r>
        <w:t>L’appelant a admis s’être rendu en Suisse pour y voler, selon ses propres termes, lors de son audition par la juridiction de céans. Le projet avait été discuté dans la voiture durant le trajet de Bruxelles à Neuchâtel, lieu des premiers cambriolages. Il a admis également que le butin amassé avait été transporté dans la voiture où il attendait ses comparses perpétrant leurs méfaits. En outre, l’ensemble du butin avait été caché dans la chambre d’hôtel qu’il avait réservée sous une fausse identité. Il devait participer à son partage à raison d’un tiers. Celui qui prend part à la décision commune de venir en Suisse pour y commettre des cambriolages, attend ses comparses dans une voiture, cache le produit des vols dans une chambre d’hôtel réservée pour lui sous une identité usurpée et compte participer pour un tiers au produit des vols commis avec ses deux acolytes peut être qualifié de coauteur, même si lors de la commission des cambriolages qui lui ont été imputés, il est resté à l’extérieur des immeubles visités alors que ses comparses s’y rendaient en vue d’y commettre des cambriolages. C’est donc à juste titre que l’appelant a été reconnu coupable de dommages à la propriété, de violations de domicile, de vols et de tentative de vol ainsi que de brigandage en tant que coauteur de ces infractions.</w:t>
      </w:r>
    </w:p>
    <w:p>
      <w:r>
        <w:rPr>
          <w:b/>
        </w:rPr>
        <w:t>E. 5</w:t>
      </w:r>
    </w:p>
    <w:p>
      <w:r>
        <w:t>Les deux appelants contestent encore la quotité de la peine à laquelle ils ont été condamnés, voire demandent à bénéficier d’une mesure de sursis partiel.</w:t>
      </w:r>
    </w:p>
    <w:p>
      <w:r>
        <w:rPr>
          <w:b/>
        </w:rPr>
        <w:t>E. 5.1</w:t>
      </w:r>
    </w:p>
    <w:p>
      <w:r>
        <w:t>Le crime le plus grave commis par les deux appelants est le brigandage au sens de l’art. 140 ch. 1 al. 2 CP, punissable d’une sanction correspondant à 180 jours-amende au moins et à une peine privative de liberté de dix ans au plus. Quant au vol par métier, il est également passible d’une peine privative de liberté de dix ans au plus en application de l’art. 139 ch. 2 CP.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Le plafond de la peine est ainsi porté à quinze ans pour chacun des appelants.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5.2.1</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5.2.2</w:t>
      </w:r>
    </w:p>
    <w:p>
      <w:r>
        <w:t>Selon la jurisprudence du Tribunal fédéral (ATF 118 IV 18 consid. 1 c/bb p. 21, arrêts du Tribunal 6P.2007 du 4 mai 2007 consid. 9.1 et 6S.130/2005 du 1 er mars 2006 consid. 3), le juge du second degré doit – si une part importante de l’accusation est abandonnée – indiquer dans les motifs de sa décision pourquoi il maintient la peine fixée par le premier juge.</w:t>
      </w:r>
    </w:p>
    <w:p>
      <w:r>
        <w:rPr>
          <w:b/>
        </w:rPr>
        <w:t>E. 5.2.3</w:t>
      </w:r>
    </w:p>
    <w:p>
      <w:r>
        <w:t>Sur le plan objectif, seules les peines de six mois à deux ans peuvent être assorties du sursis total (cf. art. 42 al. 1 CP). Le cadre élargi défini par le nouveau droit pour la fixation de la peine ne justifie plus une relativisation de la limite légale permettant l'octroi du sursis ou du sursis partiel (ATF 134 IV 17 ,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 Par ailleurs,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 consid. 4.2.3).</w:t>
      </w:r>
    </w:p>
    <w:p>
      <w:r>
        <w:rPr>
          <w:b/>
        </w:rPr>
        <w:t>E. 5.2.4</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 consid. 4.2.1 p. 5).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Le pronostic doit être posé selon les mêmes critères que sous l'ancien droit.</w:t>
      </w:r>
    </w:p>
    <w:p>
      <w:r>
        <w:rPr>
          <w:b/>
        </w:rPr>
        <w:t>E. 5.2.5</w:t>
      </w:r>
    </w:p>
    <w:p>
      <w:r>
        <w:t>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et 6S.253/2004 du 3 novembre 2004 consid. 4 ; cf. également M. NIGGLI / H. WIPRÄCHTIGER, op. cit. , n. 90 ad art. 42).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5.2.6</w:t>
      </w:r>
    </w:p>
    <w:p>
      <w:r>
        <w:t>Venus en Suisse dans le seul but d’y commettre des actes délictueux, les deux appelants se sont rendus coupables d’infractions portant atteinte à différents biens juridiques protégés, soit l’intégrité corporelle et le patrimoine. Ils n’ont pas hésité à commettre en quelques jours plusieurs cambriolages dans deux villes différentes et la fin de leurs activités délictuelles n’est due qu’à leur arrestation. Ils n’ont pas agi du fait des circonstances mais selon une volonté préétablie, forgée avant même d’arriver en Suisse. Les faits constitutifs de brigandage représentent en outre une escalade dans la délinquance, les biens juridiques atteints étant tant le patrimoine que l’intégrité corporelle. Leur énergie criminelle était donc importante. La faute est dès lors lourde ; seule une peine privative de liberté d’une certaine ampleur entre en ligne de compte. Ils bénéficient certes d’un acquittement sur le point de savoir s’ils ont eu recours à une arme dangereuse, mais cet élément ne saurait conduire à une réduction de la peine. Il convient en effet de garder présent à l’esprit le plafond théorique de quinze années de privation de liberté alors que la circonstance aggravante de l’art. 140 ch. 2 CP comporte un minimum aggravé d’une année et un maximum théorique de vingt ans en application de l’art. 40 CP. En d’autres termes, une fois la peine envisagée dépassant le seuil d’un an, cette circonstance aggravante peut ne pas avoir un poids déterminant au regard de l’ensemble des faits reprochés aux intéressés dès lors que la peine envisageable reste de toute manière très éloignée du plafond. Les éléments déterminants en l’espèce sont, de manière commune aux deux appelants, la récidive, la volonté de commettre un nombre indéfini d’infractions et l’absence de réelle prise de conscience de leur enracinement précoce dans la délinquance. Considérant en outre l’art. 96 de la loi sur l’organisation judiciaire du 26 septembre 2010 (LOJ ; RS E 2 05) qui limite la compétence du Tribunal de police à deux ans de peine privative de liberté, il n’y a pas lieu d’envisager une réduction des peines infligées en première instance, sauf à prononcer des sanctions exagérément clémentes au regard des faits.</w:t>
      </w:r>
    </w:p>
    <w:p>
      <w:r>
        <w:rPr>
          <w:b/>
        </w:rPr>
        <w:t>E. 5.2.7</w:t>
      </w:r>
    </w:p>
    <w:p>
      <w:r>
        <w:t>Les intéressés ne remplissent plus les conditions objectives pour l’octroi du sursis sur le vu de leurs condamnations passées. D’un point de vue subjectif, la série d’actes commis en Suisse, leur attitude durant la procédure préliminaire, l’absence de projets professionnels sérieux ne permettent pas d’établir un pronostic si favorable qu’un sursis devrait être envisagé malgré les condamnations antérieures.</w:t>
      </w:r>
    </w:p>
    <w:p>
      <w:r>
        <w:rPr>
          <w:b/>
        </w:rPr>
        <w:t>E. 6</w:t>
      </w:r>
    </w:p>
    <w:p>
      <w:r>
        <w:t>Les appelants, qui succombent, supporteront les frais de la procédure envers l'État (art. 428 CPP et 14 al. 1 let. e du règlement fixant le tarif des frais en matière pénale du 22 décembre 2010 [RTFMP ; RS E 4 10.03]) comprenant un émolument de jugement de CHF 2'000.– à raison d’une moitié chacun.</w:t>
      </w:r>
    </w:p>
    <w:p>
      <w:r>
        <w:rPr>
          <w:b/>
        </w:rPr>
        <w:t>E. 7</w:t>
      </w:r>
    </w:p>
    <w:p>
      <w:r>
        <w:t>Comme il s’y est engagé, il appartiendra au Ministère public de s’assurer que la partie plaignante présente aux débats a pu récupérer tous ses bijoux encore disponibles.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