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P/11651/2011 vom 20. Juni 2017</w:t>
      </w:r>
    </w:p>
    <w:p>
      <w:r>
        <w:t>GE Cour de justice, 2017-06-20, FR</w:t>
      </w:r>
    </w:p>
    <w:p>
      <w:r>
        <w:rPr>
          <w:b/>
        </w:rPr>
        <w:t xml:space="preserve">Quelle: </w:t>
      </w:r>
      <w:r>
        <w:t>https://mcp.opencaselaw.ch/entscheid/ge_gerichte_P_11651_2011</w:t>
      </w:r>
    </w:p>
    <w:p>
      <w:r>
        <w:t>FR: GE_GERICHTE P/11651/2011 du 20 juin 2017</w:t>
      </w:r>
    </w:p>
    <w:p>
      <w:r>
        <w:t>IT: GE_GERICHTE P/11651/2011 del 20 giugno 2017</w:t>
      </w:r>
    </w:p>
    <w:p>
      <w:pPr>
        <w:pStyle w:val="Heading2"/>
      </w:pPr>
      <w:r>
        <w:t>Regeste</w:t>
      </w:r>
    </w:p>
    <w:p>
      <w:r>
        <w:t>LÉSION CORPORELLE PAR NÉGLIGENCE ; POSITION DE GARANT ; EMPLOYEUR ; MANÈGE | CP.125 CP</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Il n'y a pas lieu de revenir sur les réquisitions de preuve formulées initialement par les appelants. Le Ministère public n'a en effet pas renouvelé la sienne après son rejet par la CPAR. Les autres appelants n'ont quant à eux pas expliqué, lors de l'audience, les motifs pour lesquels ils estimaient infondée l'argumentation développée par la Chambre de céans le 7 décembre 2016, à laquelle il convient de se référer, étant encore précisé qu'il n'existe aucun élément permettant de soupçonner une défaillance technique de l'installation en cause.</w:t>
      </w:r>
    </w:p>
    <w:p>
      <w:r>
        <w:rPr>
          <w:b/>
        </w:rPr>
        <w:t>E. 3.1</w:t>
      </w:r>
    </w:p>
    <w:p>
      <w:r>
        <w:t>L'art. 125 CP réprime le comportement de celui qui, par négligence, aura fait subir à une personne une atteinte à l'intégrité corporelle ou à la santé. La réalisation de l'infraction suppose la réunion de trois conditions: une lésion corporelle subie par la victime, une négligence commise par l'auteur et un lien de causalité naturelle et adéquate entre la négligence et la lésion.</w:t>
      </w:r>
    </w:p>
    <w:p>
      <w:r>
        <w:rPr>
          <w:b/>
        </w:rPr>
        <w:t>E. 3.2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p. 262 et les références citées). La violation d'un devoir de prudence peut aussi être déduite des principes généraux si aucune règle spéciale de sécurité n'a été violée (arrêt du Tribunal fédéral 6S.389/2002 du 28 janvier 2003 consid. 5). Il en résulte que celui qui a créé, entretenu ou accru un état de choses susceptible de mettre autrui en danger est tenu de prendre toutes les mesures commandées par les circonstances pour éviter la survenance d'un dommage et ne peut exciper des lacunes des prescriptions de sécurité légales (ATF 134 IV 255 consid. 2.2.2 p. 260 ; arrêt du Tribunal fédéral 6B_578/2008 du 3 mars 2009 consid. 2.1). En second lieu, la violation du devoir de prudence doit être fautive, c'est-à-dire qu'il faut pouvoir reprocher à l'auteur, compte tenu de sa situation personnelle, une inattention ou un manque d'effort blâmable (cf. ATF 136 IV 76 consid. 2.3.1 p. 79 ; 135 IV 56 consid. 2.1 p. 64 ; 134 IV 255 consid. 4.2.3 p. 262).</w:t>
      </w:r>
    </w:p>
    <w:p>
      <w:r>
        <w:rPr>
          <w:b/>
        </w:rPr>
        <w:t>E. 3.3</w:t>
      </w:r>
    </w:p>
    <w:p>
      <w:r>
        <w:t>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 ATF 141 IV 249 consid. 1.1 p. 251 s.; 134 IV 255 consid. 4.2.1 p. 259 s. et les références citées). L'employeur a l'obligation juridique de veiller à ce que ses employés prennent les mesures de précaution nécessaires pour éviter la survenance d'un dommage et assume, en particulier, la cura in eligendo , in instruendo et in custodiendo (ATF 117 IV 130 consid. 2d p. 134). Il ne peut cependant pas être automatiquement rendu responsable, sur le plan pénal, à chaque fois qu'un ouvrier spécialisé ne respecte pas les mesures de précautions relevant de l'exercice de son activité et son devoir de surveillance ne comprend pas, d'une façon générale, l'obligation de faire accompagner chaque ouvrier spécialisé par une personne compétente chargée de le surveiller (arrêt du Tribunal fédéral 6S.389/2002 du 28 janvier 2003 consid. 5.2.3).</w:t>
      </w:r>
    </w:p>
    <w:p>
      <w:r>
        <w:rPr>
          <w:b/>
        </w:rPr>
        <w:t>E. 3.4</w:t>
      </w:r>
    </w:p>
    <w:p>
      <w:r>
        <w:t>La pratique du trampoline n'est pas exempte de risques, ainsi qu'en témoignent le nombre d'accidents recensés et la gravité des blessures répertoriées. Dans le cadre d'une étude sur la sécurité des trampolines à usage familial, plusieurs sources potentielles d'accidents ont été identifiées, liées d'une part à la structure de l'engin lui-même et d'autre part à la clarté et à la précision des avertissements et des éléments d'information (cf. www.securiteconso.org/avis-relatif-a-la-securie-des-trampolines-a-usage-familial). En l'espèce, la position de garant de l'intimé n'est pas contestée. A ce titre, il lui appartenait donc non seulement de contrôler la sécurité de son installation, mais également de veiller à ce que les usagers soient correctement informés du comportement à adopter lors de son utilisation et de s'assurer que celle-ci se déroule dans des conditions telles que le risque inhérent à l'emploi d'un trampoline ne se concrétise pas. Sur le plan technique et de la sécurité de l'installation, l'intimé était au bénéfice d'une attestation délivrée par l'organisme chargé par le SECO de contrôler la conformité des attractions foraines aux réglementations applicables. A défaut d'indices contraires, l'on doit donc considérer que le " E______ " respectait les exigences des normes suisses en la matière, notamment la norme SN EN 13219 " Matériel de gymnastique – trampolines – exigences fonctionnelles et de sécurité, méthode d'essai " reprise de la norme européenne EN 13219 relative à la conception et à la fabrication des trampolines autres que ceux destinés à un usage domestique. Il n'apparaît pas que l'utilisation de trampolines, qu'ils soient à usage familial ou destinés à un plus large public, comme dans une fête foraine, fasse l'objet d'une réglementation légale spécifique. Il convient de se référer aux principes généraux de prudence, afin de déterminer si l'intimé a pris les mesures de précaution commandées par les circonstances que l'on pouvait exiger de lui pour éviter les accidents. L'intimé avait affiché, sur les vitres de la caisse, un règlement d'utilisation de son installation. L'emplacement choisi ne prête, en soi, pas flanc à la critique, puisqu'il obligeait les personnes achetant des tickets à s'arrêter devant, ce qui n'aurait pas été le cas si ce document avait été apposé directement sur l'attraction, même à l'entrée de celle-ci, compte tenu de la bousculade régnant au moment où les usagers se pressent pour monter sur les trampolines. Ni le contenu de ce règlement, ni la clarté des injonctions, ne sont par ailleurs remis en cause. Ils correspondent du reste pour l'essentiel aux recommandations émises par le BPA concernant les trampolines de loisir (" Base de connaissances du bpa n° 2.087 – Trampolines de loisir ", p. 10) et à celles d'autres sites spécialisés, en particulier celui de la société J______ (cf. également www.trampofun.fr/trampoline/securite/regles.html), qui proscrivent les sauts périlleux en rappelant que les atterrissages sur le cou ou sur la tête peuvent être cause de paralysie, voire de décès. Certes, ces organismes proposent l'adjonction de pictogrammes illustrant les principales règles de sécurité. Il n'apparaît toutefois pas que ces suggestions soient spontanément communiquées à l'exploitant du trampoline, que ce soit par le fabriquant, la société I______ ou encore les représentants des villes procédant à des contrôles. Bien plus, ces organismes, chargés entre autres de vérifier qu'un règlement soit affiché de manière visible devant chaque attraction, n'exigent pas, aux dires des témoins, l'intégration de tels dessins. L'absence de pictogrammes n'a, au demeurant, joué aucun rôle en l'occurrence, ni l'appelant ni aucun des témoins n'ayant prêté attention à l'existence même d'un règlement et rien n'indiquant qu'un tel ajout aurait été susceptible de faire une différence sur ce point. Pour le surplus, il est établi qu'il n'existe pas de pratique consistant à attirer l'attention des clients sur l'existence d'un règlement, l'absence de prise de connaissance de celui-ci étant palliée par la présence d'un surveillant, dont l'unique tâche, durant les sessions, était de veiller à son application. L'arrêt du Tribunal fédéral confirmant la condamnation pour homicide par négligence du concepteur de la sécurité d'un centre aquatique à la suite d'une noyade ( 6S.358/2004 du 10 novembre 2004) n'est ainsi pas transposable tel quel au cas d'espèce, dans la mesure où il a été principalement reproché à l'auteur de ne pas avoir intensifié les mesures de sécurité, alors qu'il connaissait l'habitude des usagers de ne pas lire les règlements d'utilisation affiché au départ des installations (comportant en l'occurrence l'interdiction pour les non-nageurs d'utiliser l'attraction) et n'ignorait pas que les maîtres-nageurs, également occupés à d'autres tâches, ne pouvaient pas constamment maintenir une surveillance visuelle sur celles-ci. En ce qui concerne le soin que l'on pouvait attendre de l'intimé dans le choix, la formation et la surveillance de son employé, force est en premier lieu de retenir qu'il n'existe pas de formation particulière du métier de forain, qui s'apprend " sur le tas ", et que G______, homme d'âge mûr qui avait été recommandé par un ami, disposait d'une expérience de plusieurs années le plaçant a priori en position d'assumer cette surveillance. Il apparaît par ailleurs que l'intéressé avait été correctement instruit des tâches à effectuer, puisqu'il les a d'emblée énumérées à la police, en particulier l'interdiction des sauts périlleux et saltos et la nécessité de remettre à l'ordre les contrevenant, au besoin en les expulsant. Il est vrai que la réaction de G______ à la suite de l'accident dont l'appelant a été victime a montré qu'il manquait des plus élémentaires connaissances en matière de premiers secours. La question de savoir si cette lacune peut être imputée à une faute de l'intimé – qui a reconnu ne pas lui avoir donné d'instructions particulières sur la prise en charge d'un blessé, comptant sur " son bon sens " – peut cependant demeurer ouverte, dans la mesure où l'expertise a permis d'établir que les lésions subies devaient toutes être attribuées à la mauvaise réception sur la nuque et que le déplacement inadéquat du blessé n'avait pas joué de rôle dans son état actuel, contrairement à ce qui était initialement supposé. Quant à la surveillance de son employé, le rapport de police établi peu après le drame laisse à penser que G______ n'était pas aussi fiable et digne de confiance que l'intimé le supposait. Toutefois, ce dernier a expliqué l'avoir, au début, accompagné afin qu'il comprenne bien ce qu'il devait faire. Il avait par ailleurs pu s'assurer qu'il faisait du bon travail en l'observant depuis la guérite de la caisse et l'avait vu rappeler à l'ordre des clients ou les expulser, interventions que plusieurs témoins ont confirmées. Dans ces conditions, l'on ne saurait reprocher à l'intimé d'avoir failli à son devoir de surveillance, la simplicité du rôle de G______ ne requérant pas de contrôle accru de sa part, ce d'autant moins que l'employé était bien visible et que d'éventuelles lacunes de sa part dans l'accomplissement de ses tâches auraient aisément pu être, si nécessaire, rapportées à son employeur, ce qui n'apparaît pas avoir été le cas. En définitive, la question à résoudre se résume donc à déterminer si, en interprétant son propre règlement comme il l'a fait, c’est-à-dire en donnant aux termes " sauts périlleux " le sens de " sauts dangereux " et non pas celui communément admis de " saut acrobatique sans appui consistant dans une rotation du corps dans l'espace " (définition donnée par le Larousse), l'intimé a, ou non, excédé la mesure de la prudence admissible. Le BPA rappelle à ce propos que la question de savoir si le trampoline est dangereux dépend de la manière dont il est utilisé (p. 6). Ainsi, dans les recommandations versées au dossier, il mentionne en première ligne des causes d'accident les " sauts dangereux ", sans spécifier la nature de ceux-ci (p. 7). Ses " conseils pour une utilisation sûre ", sous réserve du pictogramme ad hoc , ne parlent pas non plus de " sauts périlleux ", mais rappellent uniquement que, " afin de toujours garder le contrôle, la hauteur des sauts sera fonction de ses propres capacités qu'il s'agit d'évaluer avec lucidité! Autrement, l'utilisateur risque d'atterrir dans des positions indésirables et potentiellement dangereuses (sur la tête, par ex.). Un signe de perte de contrôle qui ne trompe pas: l'utilisateur agite les bras dans tous les sens! " (p. 10). La société J______ (soit " ______ " en anglais) inclut quant à elle, dans sa proposition de règlement, une interdiction des " capriole ", " somersaults " et autres " Luftrollen ", mais montre, dans ses vidéos de présentation de l'attraction " E______ ", des personnes effectuant des saltos simples. Il convient de déduire de ces indications – ce qui découle au demeurant du bon sens – que la dangerosité des saltos – à tout le moins simples – tient davantage au manque d'expérience de ceux qui les exécutent qu'à la figure elle-même, dont l'appelant a déclaré qu'elle ne requérait pas d'entraînement intensif, de sorte que " pas mal de gens arrivaient à faire cette figure tout de suite ". En d'autres termes, la raison d'être des interdictions figurant dans les règlements d'utilisation, tant des trampolines familiaux que de ceux destinés aux fêtes foraines, est que ceux-ci s'adressent à un large public, composé en majorité d'enfants, dont le fabriquant, respectivement l'exploitant, ignorent l'expérience en la matière. Dans ce contexte, la pratique consistant à interdire par principe les " sauts périlleux ", ce qui inclut, dans le langage courant, les saltos, y compris simples, mais à ne pas interpeller les contrevenants maîtrisant manifestement de telles figures, ne paraît pas procéder d'un excès coupable de témérité. Cette approche paraît d'ailleurs avoir fait ses preuves, puisqu'alors que la fréquence des saltos simples sur de telles installations n'est pas exceptionnelle (ainsi que cela ressort des déclarations de l'appelant du 17 août 2011 et du constat effectué quelques jours plus tôt par l'appointée F______), ni l'intimé, ni P______ n'ont, en plus de trente ans d'activité, jamais entendu parler d'un tel accident sur une installation de " E______ " et qu'aucun des cas de blessures graves mentionnées dans le dossier ne concerne un trampoline autre que domestique (cf. notamment l'article " Children presenting to a Canadian hospital with trampoline-related cervical spine injuries " annexé au courrier adressé le 20 novembre 2012 au Ministère public). Il ressort d'ailleurs des recommandations du BPA et des témoignages recueillis dans le cadre de la présente procédure que les signes d'un manque de maîtrise et d'une perte de contrôle ne trompent pas, de sorte que les risques liés à une mauvaise appréciation des capacités de l'usager sont minimes. De par sa position, G______ était par ailleurs à même d'intervenir rapidement en cas de conduite à risque d'un usager, ni lui-même ni aucun des témoins présents n'ayant déclaré que la configuration des lieux ou la musique l'auraient empêché d'agir. Force est d'ailleurs de constater que l'appelant ne s'est pas blessé en exécutant l'un des sauts tolérés, mais en tentant un double saut périlleux, qui lui, était clairement interdit comme trop dangereux. Or, à ce propos, si les appelants relèvent à juste titre que le passage à des tentatives de double saut périlleux après avoir effectué des saltos simples n'est pas si imprévisible que le lien de causalité s'en trouve rompu, il n'en demeure pas moins que l'anticipation d'un saut interdit, qu'il soit simple pour un néophyte ou plus acrobatique pour un sportif confirmé, ne paraît pas possible, vu l'impossibilité soulignée par l'intimé de " retenir l'usager par les pieds ", et que seule une intervention a posteriori peut être exigée du surveillant. Cette intervention aurait, dans le cas présent, pu être faite et aurait peut-être permis d'éviter l'accident, puisque le saut à l'origine de ce dernier a été précédé d'une première tentative, lors de laquelle l'appelant est déjà mal retombé, sans toutefois se blesser. Ainsi, si les prescriptions édictées par l'intimé avaient été respectées par G______ – ce qui ne paraît pas être le cas, en dépit des dénégations de celui-ci – l'accident aurait éventuellement pu être évité. Dans la mesure où l'employé avait manifestement compris la portée et les enjeux des instructions reçues et de la nécessité d'intervenir en cas de comportement dangereux, il doit seul supporter, sur le plan pénal, les conséquences de son omission, l'intimé ne pouvant, pour les motifs exposés ci-dessus, être tenu pour responsable du comportement inadéquat de son employé. L'arrêt publié aux ATF 123 III 306 auquel les appelants se sont à plusieurs reprises référés, concernant la responsabilité du président d'une association s'occupant, de fait, de l'entretien d'un plongeoir installé au large d'une plage, lequel exposait ses usagers à un grave danger en raison du niveau insuffisant de l'eau à cet endroit, ne commande pas de solution différente. En effet, il apparaît, à la lecture de celui-ci, que l'intéressé a été acquitté sur le plan pénal, quand bien même la responsabilité de l'association a été admise sur le plan civil. Il s'ensuit que, faute de réalisation, par l'intimé, des éléments constitutifs de l'infraction de lésions corporelles par négligence, le jugement entrepris doit être confirmé.</w:t>
      </w:r>
    </w:p>
    <w:p>
      <w:r>
        <w:rPr>
          <w:b/>
        </w:rPr>
        <w:t>E. 4</w:t>
      </w:r>
    </w:p>
    <w:p>
      <w:r>
        <w:t>Les appelants, qui succombent, supporteront les frais de la procédure, comprenant un émolument de procédure de CHF 2'000.-, à raison de la moitié à la charge des parties plaignantes et du solde à celle de l'État (art. 428 CPP et 14 al. 1 let. e du Règlement fixant le tarif des frais en matière pénale du 22 décembre 2010 ; E 4 10.03).</w:t>
      </w:r>
    </w:p>
    <w:p>
      <w:r>
        <w:rPr>
          <w:b/>
        </w:rPr>
        <w:t>E. 5.1</w:t>
      </w:r>
    </w:p>
    <w:p>
      <w:r>
        <w:t>L'intimé, dont l'acquittement est confirmé, peut prétendre à une indemnité pour les dépenses occasionnées par l'exercice raisonnable de ses droits de procédure (art. 429 al. 1 let. a CPP applicable à la procédure d'appel par le renvoi de l'art. 436 al. 1 CPP). Conséquence du principe selon lequel c'est à l'État qu'incombe la responsabilité de l'action pénale, il se déduit de cette disposition que les frais de défense relatifs à l'aspect pénal sont en principe mis à la charge de l'État (voir Message du 21 décembre 2005 relatif à l'unification du droit de la procédure pénale, FF 2006 1313 ad art. 437 et 1314 ad art. 440 du projet), à moins que la procédure soit menée davantage dans l'intérêt de la partie plaignante ou lorsque cette dernière en a sciemment compliqué la mise en œuvre (art. 432 CPP; ATF 139 IV 45 consid. 1.2 p. 47 ss, confirmé par l'ATF 141 IV 476 consid.1.1 p.478 ss).</w:t>
      </w:r>
    </w:p>
    <w:p>
      <w:r>
        <w:rPr>
          <w:b/>
        </w:rPr>
        <w:t>E. 5.2</w:t>
      </w:r>
    </w:p>
    <w:p>
      <w:r>
        <w:t>En l'occurrence, considérée dans sa globalité, l'activité déployée en appel, soit 13 heures 50, à laquelle s'ajoute la durée de l'audience d'appel (3 heures), est en adéquation avec la nature et la difficulté de l'affaire. Le tarif de CHF 450.- pour un chef d'étude est par ailleurs conforme à la jurisprudence de la Cour de justice ( AARP/125/2012 du 30 avril 2012 consid. 4.2 ; ACPR/178/2015 du 23 mars 2015 consid. 2.1). L'indemnité sera ainsi arrêtée à CHF 7'575.-, TVA à 8% (CHF 606.-) en sus. Dans la mesure où le Ministère public a formé un appel indépendant de celui des parties plaignantes et où les prétentions civiles élevées par ces dernières n'ont en rien rendu la cause plus complexe, ce montant sera assumé par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