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P/11646/2015 vom 29. Juni 2016</w:t>
      </w:r>
    </w:p>
    <w:p>
      <w:r>
        <w:t>GE Cour de justice, 2016-06-29, FR</w:t>
      </w:r>
    </w:p>
    <w:p>
      <w:r>
        <w:rPr>
          <w:b/>
        </w:rPr>
        <w:t xml:space="preserve">Quelle: </w:t>
      </w:r>
      <w:r>
        <w:t>https://mcp.opencaselaw.ch/entscheid/ge_gerichte_P_11646_2015</w:t>
      </w:r>
    </w:p>
    <w:p>
      <w:r>
        <w:t>FR: GE_GERICHTE P/11646/2015 du 29 juin 2016</w:t>
      </w:r>
    </w:p>
    <w:p>
      <w:r>
        <w:t>IT: GE_GERICHTE P/11646/2015 del 29 giugno 2016</w:t>
      </w:r>
    </w:p>
    <w:p>
      <w:pPr>
        <w:pStyle w:val="Heading2"/>
      </w:pPr>
      <w:r>
        <w:t>Regeste</w:t>
      </w:r>
    </w:p>
    <w:p>
      <w:r>
        <w:t>CONFISCATION(DROIT PÉNAL); PRESCRIPTION; SÉQUESTRE(CONTRAT DE DÉPÔT); MENDICITÉ; REFORMATIO IN PEJUS; MINIMUM VITAL; CONTRAVENTION; COMPENSATION DE CRÉANCES; FRAIS JUDICIAIRES | CP.70.1; CP.70.3; CP.109; CPP.398.4; CPP.263.3; CPP.263.1.b; CPP.263.1.d; CPP.268.1; CPP.268.2; CPP.268.3; CPP.391.1; LPG.11A</w:t>
      </w:r>
    </w:p>
    <w:p>
      <w:pPr>
        <w:pStyle w:val="Heading2"/>
      </w:pPr>
      <w:r>
        <w:t>Erwägungen</w:t>
      </w:r>
    </w:p>
    <w:p>
      <w:r>
        <w:rPr>
          <w:b/>
        </w:rPr>
        <w:t>E. 1.1</w:t>
      </w:r>
    </w:p>
    <w:p>
      <w:r>
        <w:t>L'appel est recevable pour avoir été interjeté et motivé selon la forme et dans les délais prescrits (art. 398 et 399 du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Selon l'art. 268 al. 1 CPP, le patrimoine d'un prévenu peut être séquestré dans la mesure qui paraît nécessaire pour couvrir les frais de procédure et les indemnités à verser (let. a). Selon la systématique du CPP, seul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 RS 281.1 – art. 268 al. 3 CPP). 2.3.1. En l'espèce, l'appelante a été interpellée dans la rue alors qu'elle se livrait à la mendicité. La police a saisi en sa possession la somme de CHF 70.-, ce qu'elle était autorisée à faire (art. 263 al. 3 CPP). La mendicité étant le seul moyen d'existence de l'appelante, il est évident que la somme saisie représentait le produit de l'infraction commise et ne provenait pas de son époux, contrairement à la thèse soutenue par elle pour les besoins de la cause, et par ailleurs non étayée. La commission de l'infraction de mendicité est établie, l'appelante ayant au demeurant reconnu les faits. Seule la prescription de l'action pénale faisait obstacle à un verdict de culpabilité. Le premier juge aurait donc pu et dû prononcer la confiscation de la somme saisie sur la base de l'art. 70 al. 1 CP, la prescription de la contravention n'entraînant pas encore celle du droit d'ordonner la confiscation (art. 70 al. 3 CP). Ceci étant, rectifier la décision querellée reviendrait à péjorer la situation de l'appelante, ce qui est proscrit par l'art. 391 al. 1 CPP, puisqu'elle ne profiterait dès lors pas de la diminution de sa dette envers l'État résultant de la compensation prononcée. Le dispositif du jugement sera partant confirmé et l'appel rejeté, l'intéressée bénéficiant de la compensation pour le motif susévoqué, sans pour autant pouvoir se prévaloir de l'art. 268 al. 2 et 3 CPP.</w:t>
      </w:r>
    </w:p>
    <w:p>
      <w:r>
        <w:rPr>
          <w:b/>
        </w:rPr>
        <w:t>E. 3</w:t>
      </w:r>
    </w:p>
    <w:p>
      <w:r>
        <w:t>L'appelante, qui succombe, supportera les frais de la procédure envers l'État, qui comprennent un émolument de CHF 1'000.- (art. 428 CPP et art. 14 al. 1 let. e du Règlement fixant le tarif des frais en matière pénale du 22 décembre 2010 [RTFMP – E 4 10.03]).</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l'équivalent de la TVA est versé en sus. 4.2.2. Le nombre d'heures nécessaires pour assurer la défense d'office du prévenu est décisif pour fixer la rémunération de l'avocat,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 cf. art. art 16. al. 2 RAJ). Toutefois,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4.2.4. Selon l'art. 17 RAJ, l'état de frais doit détailler, par rubriques, les activités donnant lieu à indemnisation, avec indication du temps consacré, et les justificatifs doivent être joints.</w:t>
      </w:r>
    </w:p>
    <w:p>
      <w:r>
        <w:rPr>
          <w:b/>
        </w:rPr>
        <w:t>E. 4.3</w:t>
      </w:r>
    </w:p>
    <w:p>
      <w:r>
        <w:t>L'appelante concluant à l'octroi d'une indemnité équitable pour ses frais de défense en appel, sans toutefois produire de relevé pour l'activité de son conseil, la CPAR arrêtera cette indemnité ex aequo et bono , à CHF 518.40, TVA à 8% incluse, correspondant à deux heures d'activité au tarif de CHF 200.-/heure, pour un mémoire de quatre pages, dont celle de garde, plus la majoration forfaitaire usuelle de 20% (CHF 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