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P/11644/2014 vom 21. Mai 2019</w:t>
      </w:r>
    </w:p>
    <w:p>
      <w:r>
        <w:t>GE Cour de justice, 2019-05-21, FR</w:t>
      </w:r>
    </w:p>
    <w:p>
      <w:r>
        <w:rPr>
          <w:b/>
        </w:rPr>
        <w:t xml:space="preserve">Quelle: </w:t>
      </w:r>
      <w:r>
        <w:t>https://mcp.opencaselaw.ch/entscheid/ge_gerichte_P_11644_2014</w:t>
      </w:r>
    </w:p>
    <w:p>
      <w:r>
        <w:t>FR: GE_GERICHTE P/11644/2014 du 21 mai 2019</w:t>
      </w:r>
    </w:p>
    <w:p>
      <w:r>
        <w:t>IT: GE_GERICHTE P/11644/2014 del 21 maggio 2019</w:t>
      </w:r>
    </w:p>
    <w:p>
      <w:pPr>
        <w:pStyle w:val="Heading2"/>
      </w:pPr>
      <w:r>
        <w:t>Regeste</w:t>
      </w:r>
    </w:p>
    <w:p>
      <w:r>
        <w:t>LÉSION CORPORELLE SIMPLE; MARCHANDISE DANGEREUSE; LÉGITIME DÉFENSE; EXCÈS; ERREUR SUR LES FAITS(EN GÉNÉRAL) ; FIXATION DE LA PEINE | CP.123; CP.15; CP.16; CP.13; CP.47</w:t>
      </w:r>
    </w:p>
    <w:p>
      <w:pPr>
        <w:pStyle w:val="Heading2"/>
      </w:pPr>
      <w:r>
        <w:t>Erwägungen</w:t>
      </w:r>
    </w:p>
    <w:p>
      <w:r>
        <w:rPr>
          <w:b/>
        </w:rPr>
        <w:t>E. 1</w:t>
      </w:r>
    </w:p>
    <w:p>
      <w:r>
        <w:t>L'appel est recevable pour avoir été interjeté et motivé selon la forme et dans les délais prescrits (art. 398 et 399CPP).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(ATF 144 IV 345 ,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et 6B_1306/2017 du 17 mai 2018 consid. 2.1.1; ATF 144 IV 345 , consid. 2.2.3.3). 2.1.2.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2.1.3. L'art. 123 ch. 2 al. 2 CP poursuit d'office l'auteur qui a utilisé un objet dangereux. Un objet sera considéré comme dangereux lorsqu'il est conçu de manière telle qu'utilisé comme arme, il est propre à provoquer les blessures que causerait une arme employée dans les mêmes conditions (ATF 96 IV 16 consid. 3b p. 19). À titre d'exemple, le Tribunal fédéral a retenu la qualification d'objet dangereux pour une chope de bière lancée à la tête d'autrui (ATF 101 IV 285 ) ou un verre à cocktail d'une dizaine de centimètres (arrêt du Tribunal fédéral 6B_590/2014 du 12 mars 2015 consid. 1.3). Dans deux arrêts récents, la Cour de céans a retenu qu'un tesson de bouteille devait être qualifié d'objet dangereux ( AARP/139/2017 du 25 avril 2017 consid. 3 et AARP/17/2017 du 2 janvier 2017 consid. 2.8.2). L'objet doit être propre à créer un risque de mort ou de lésion corporelle grave au sens de l'art. 122 CP (ATF 101 IV 285 p. 287 cités par l'arrêt du Tribunal fédéral 6S_65/2002 du 26 avril 2002 consid. 3.2). 2.1.4. Ces infractions sont intentionnelles. L'auteur doit avoir agi avec conscience et volonté (art. 12 al. 2 CP), le dol éventuel étant suffisant. Il y a dol éventuel lorsque l'auteur, qui ne veut pas le résultat dommageable pour lui-même, envisage le résultat de son acte comme possible et l'accepte au cas où il se produirait (ATF 137 IV 1 consid. 4.2.3 p. 4 ;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 2ème éd., Berne 1995, n. 156 p. 208).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p. 84).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 133 IV 222 consid. 5.3 p. 226 et les arrêts cités).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6S_127/2007 du 6 juillet 2007 consid. 2.3 - relatif à l'art. 129 CP - avec la jurisprudence et la doctrine citées). 2.2.1. 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 arrêts du Tribunal fédéral 6B_600/2014 du 23 janvier 2015 consid. 5.1 non publié in ATF 141 IV 61 ; 6B_632/2011 du 19 mars 2012 consid. 2.1).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p. 4 s.).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arrêts du Tribunal fédéral 6B_130/2017 du 27 février 2018 consid. 3.1 = SJ 2018 I 385 ; 6B_346/2016 du 31 janvier 2017 consid. 2.1.2). La défense doit apparaître proportionnée au regard de l'ensemble des circonstances et être la moins dommageable. En revanche, elle n'est pas subsidiaire à la fuite, à l'esquive ou à l'appel au secours. De même, celui qui prévoit qu'il sera peut-être attaqué au cours d'une explication qu'il voulait avoir avec son futur agresseur, et qui s'est muni d'un couteau au titre de mesure de précaution, peut, selon les circonstances, se trouver dans un état de légitime défense (ATF 102 IV 228 ). Néanmoins, celui qui utilise pour se défendre un objet dangereux, tel qu'un couteau ou une arme à feu, doit faire preuve d'une retenue particulière car sa mise en oeuvre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et les références citées ; arrêts du Tribunal fédéral 6B_346/2016 du 31 janvier 2017 consid. 2.1 ; 6B_889/2013 du 17 février 2014 consid. 2.1). 2.2.2. À teneur de l'art. 16 al. 2 CP, celui qui repousse une attaque en excédant les limites de la légitime défense n'agit pas de manière coupable si cet excès provient d'un état excusable d'excitation ou de saisissement causé par l'attaque.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Comme dans le cas du meurtre par passion,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Peur ne signifie pas nécessairement état de saisissement au sens de l'art. 16 al. 2 CP (arrêts du Tribunal fédéral 6B_889/2013 du 17 février 2014 consid. 3.1 et 6B_1015/2014 du 1 er juillet 2015 consid. 3.2). Il appartient au juge d'apprécier de cas en cas si l'excitation ou le saisissement étaient suffisamment marquants pour que l'auteur de la mesure de défense n'encoure aucune peine et de déterminer si la nature et les circonstances de l'attaque rendaient excusable un tel degré d'émotion. Il sera d'autant plus exigeant que la riposte aura été plus nocive ou dangereuse. Mais il n'est pas nécessaire que la réaction ne paraisse pas fautive. Il suffit qu'une peine ne s'impose pas. Malgré la formulation absolue de la loi, un certain pouvoir d'appréciation est laissé au juge (ATF 102 IV 1 consid. 3b p. 7 ; SJ 1988 p. 121 ; arrêt du Tribunal fédéral 6B_1015/2014 du 1er juillet 2015 consid. 3.2). 2.2.3. Selon l'art. 13 CP, quiconque agit sous l'influence d'une appréciation erronée des faits est jugé d'après cette appréciation si elle lui est favorable (al. 1). Agit sous l'emprise d'une erreur sur les faits celui qui n'a pas connaissance ou qui se base sur une appréciation erronée d'un élément constitutif d'une infraction pénale (ATF 129 IV 238 consid. 3.1). L'intention délictuelle fait alors défaut. L'erreur peut cependant aussi porter sur un fait justificatif, tel le cas de l'état de nécessité ou de la légitime défense putatifs (ATF 125 IV 49 consid. 2) ou encore sur un autre élément qui peut avoir pour effet d'atténuer ou d'exclure la peine (ATF 117 IV 270 consid. 2b ; arrêts du Tribunal fédéral 6B_346/2016 du 31 janvier 2017 consid. 2.1.2 ; 6B_719/2009 du 3 décembre 2009 consid. 1.1 et les références citées). Il y a légitime défense putative si l'auteur agit sous l'emprise d'une erreur sur les faits, en croyant par erreur qu'une attaque imminente menace de se produire (ATF 129 IV 6 consid. 3.2). Celui qui s'en prévaut doit prouver que son jugement s'est fondé sur des circonstances de fait qui expliquent son erreur. La simple impression qu'une attaque ou une menace imminente sont possibles ne suffit pas à faire admettre cet état (ATF 93 IV 81 consid. 2b). 2.2.4. Celui qui invoque un fait justificatif susceptible d'exclure sa culpabilité ou de l'amoindrir doit en 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3e édition, Zurich 2011, n. 555, p. 189).</w:t>
      </w:r>
    </w:p>
    <w:p>
      <w:r>
        <w:rPr>
          <w:b/>
        </w:rPr>
        <w:t>E. 2.3</w:t>
      </w:r>
    </w:p>
    <w:p>
      <w:r>
        <w:t>En l'espèce, dans la mesure où l'appelante ne conteste pas être l'auteure des blessures infligées au cou de E______, pas plus qu'elle ne conteste leur qualification juridique de lésions corporelles simples aggravées, la seule question à se poser est celle de savoir si elle peut se prévaloir d'un fait justificatif. A cet égard, la CPAR retiendra qu'il ressort des déclarations concordantes de l'ensemble des personnes entendues durant la procédure, qu'avant le coup de tesson de bouteille assené par l'appelante à E______, ces derniers s'étaient saisis par les cheveux, empoignés et agrippés (" enlacés "), voire étaient tombés au sol. Les témoins I______ et G______ ont en outre confirmé la version de l'appelante, selon laquelle E______ lui aurait également donné au moins un violent coup au visage avec la main ouverte ou fermée, ce que confirme le constat de lésions traumatiques faisant état de multiples ecchymoses au visage. Par ailleurs, bien qu'il ressorte des déclarations du témoin I______ et de l'appelante que E______ avait relâché son emprise au moment où elle a pu se saisir du tesson de bouteille, rien ne permet de retenir que celui-là comptait alors cesser son attaque. Au contraire, l'appelante a indiqué que son agresseur se dirigeait vers elle d'un air " menaçant ". Bien que l'appelante et E______ se soient initialement invectivés avant de s'empoigner par les cheveux, ce comportement ne saurait être opposé à l'appelante dans la mesure où cette dernière a indiqué que l'altercation avait débuté après que E______ ait essayé de lui prendre son sac à main de force pour obtenir de l'argent pour jouer, ce qui n'a pas été contredit par l'intéressé et a été confirmé par les témoins F______ et G______. La CPAR retiendra ainsi que l'appelante faisait l'objet d'une attaque en cours ou, à tout le moins imminente, au moment où elle a porté le coup de tesson de bouteille à E______. Cela étant, ce coup ne saurait être considéré comme proportionné au regard des circonstances du cas d'espèce. D'une part, E______ n'était pas armé d'un quelconque objet au moment de le recevoir, dès lors qu'il avait lâché la chaise sur laquelle il s'était défoulé auparavant et que les témoins G______ et F______ lui avaient enlevé une bouteille de vodka des mains. D'autre part, comme le relève à juste titre le premier juge, l'appelante aurait pu riposter de manière moins violente, soit en frappant son agresseur à mains nues, comme elle l'avait fait précédemment, soit en utilisant la bouteille sans prendre la précaution de la casser pour utiliser le tesson, autrement plus dangereux. Le coup donné par l'appelante apparait d'autant plus disproportionné qu'elle n'aurait pas seulement tenté de se protéger comme elle le prétend mais bien plutôt d'agresser physiquement son agresseur comme l'a indiqué le témoin I______. Dans la mesure où l'appelante a manifestement excédé la légitime défense en portant le coup de tesson à E______, reste à savoir si cette dernière se trouvait dans un état excusable d'excitation ou de saisissement. A cet égard, bien que l'appelante ait indiqué avoir été " paniquée " et " tétanisée " et s'être interrogée quant à sa " survie ", la CPAR retiendra que son comportement durant la bagarre infirme un état émotionnel particulier. Au contraire, le témoin K______ a indiqué que l'altercation ressemblait plutôt à une " bagarre de poivrots ", avant d'ajouter qu'il lui avait semblé que l'appelante avait voulu échapper à son agresseur " sans vouloir vraiment lui échapper ", cette dernière n'ayant pas cherché à fuir ou à demander de l'aide. Le témoin K______ a également précisé que l'appelante n'avait pas " réagi comme quelqu'un qui se fait agresser " mais plutôt comme si c'était " habituel ", cette dernière l'ayant même salué en début d'altercation. Ainsi l'appelante n'a nullement apporté la preuve d'un quelconque état d'excitation ou de saisissement même si le coup qu'elle a reçu au visage, qualifié de violent par le témoin I______, l'a à tout le moins " sonnée ". C'est donc à juste titre que le premier juge a retenu un excès de légitime défense (art. 16 al. 1 CP) et l'a reconnue coupable de lésions corporelles simples aggravées, de sorte que le jugement sera confirmé sur ce point.</w:t>
      </w:r>
    </w:p>
    <w:p>
      <w:r>
        <w:rPr>
          <w:b/>
        </w:rPr>
        <w:t>E. 3.1</w:t>
      </w:r>
    </w:p>
    <w:p>
      <w:r>
        <w:t>L'infraction à l'art 123 al. 2 CP est passible d'une peine privative de liberté de trois ans au plus ou d'une peine pécuniaire et celles à l'art. 115 al. 1 let. b et c LEI, d'une peine privative de liberté d'un an au plus où d'une peine pécuniaire. 3.2.1. À l'aune de l'art. 2 CP, la réforme du droit des sanctions entrée en vigueur le 1er janvier 2018 marque globalement un durcissement du droit des sanctions et est ainsi, en principe, moins favorable à la personne condamnée (M. DUPUIS et al., op. cit ., n. 6 ad art. 34 à 41 CP). 3.2.2. En l'occurrence, il sera fait application du droit en vigueur jusqu'au 31 décembre 2017, les infractions reprochées à l'appelante ayant été commises sous l'empire de ce droit, et le nouveau droit des sanctions ne lui apparaissant pas plus favorable. 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3.3.2.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3.3.3 Selon l'art. 34 al. 1 aCP, la peine pécuniaire ne peut excéder 360 jours-amende ; le juge en fixe le nombre en fonction de la culpabilité de l'auteur. Le jour-amende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w:t>
      </w:r>
    </w:p>
    <w:p>
      <w:r>
        <w:rPr>
          <w:b/>
        </w:rPr>
        <w:t>E. 3.4</w:t>
      </w:r>
    </w:p>
    <w:p>
      <w:r>
        <w:t>En l'espèce, la faute de l'appelante est importante dès lors que, bien qu'ayant été agressée par E______, elle a largement excédé la légitime défense en lui assénant un coup de tesson de bouteille au niveau du cou, risquant ainsi de lui provoquer de graves lésions, voire de le tuer. Quand bien même elle avait semble-t-il consommé une importante quantité d'alcool, elle était pleinement responsable et ne soutient à juste titre pas le contraire. A décharge, l'appelante a agi dans un état de légitime défense excessive, ce qui justifie une atténuation de la peine. S'agissant des infractions liées à son séjour illégal, l'appelante qui venait d'être condamnée pour des faits similaires n'a pas hésité à réitérer, étant motivée uniquement par des considérations personnelles et égoïstes dénotant de son mépris caractérisé de la législation en vigueur. Sa collaboration ne peut pas être qualifiée de bonne dans la mesure où elle s'est limitée à admettre les infractions à la LEI qu'il lui aurait été bien difficile de contester. Elle a en revanche encore cherché en appel à rejeter l'entière responsabilité des évènements du 3 janvier 2015 sur la victime de sorte que sa prise de conscience apparait incomplète. Il y a concours d'infractions, ce qui justifie le prononcé d'une peine aggravée. L'infraction abstraitement la plus grave étant celle de lésions corporelles simples aggravées, la CPAR retiendra qu'une peine pécuniaire de 160 jours-amende est appropriée et tient en particulier compte de l'atténuation du fait de l'état de légitime défense. Concernant les infractions à la LEI, la CPAR estime adéquate une peine de 50 jours-amende, étant relevé que l'appelante a réitéré immédiatement après sa condamnation pour faits spécifiques. Par ailleurs, la CPAR est d'avis que la peine globale de 210 jours-amende tient convenablement compte de la violation du principe de célérité telle que constatée par le premier juge. Le montant du jour-amende, de CHF 30.- est conforme à la situation économique et personnelle de l'appelante et sera également confirmé. Le bénéfice du sursis lui est acquis (art. 391 al. 2 CPP), bien que le pronostic soit clairement défavorable s'agissant d'une récidive d'infractions à la LEI, l'appelante s'obstinant en effet à vouloir rester en Suisse nonobstant son statut administratif. Le délai d'épreuve fixé à trois ans est ainsi de nature à la détourner de la commission de nouvelles infractions. Le quantum d'imputation des mesures de substitution sur la peine prononcée n'est pas contesté et ne prête pas le flanc à la critique, si bien qu'il convient de le confirmer.</w:t>
      </w:r>
    </w:p>
    <w:p>
      <w:r>
        <w:rPr>
          <w:b/>
        </w:rPr>
        <w:t>E. 4</w:t>
      </w:r>
    </w:p>
    <w:p>
      <w:r>
        <w:t>L'appelante, qui succombe intégralement, supportera les frais de la procédure envers l'État, lesquels comprennent un émolument de CHF 2'500.- (art. 428 CPP).</w:t>
      </w:r>
    </w:p>
    <w:p>
      <w:r>
        <w:rPr>
          <w:b/>
        </w:rPr>
        <w:t>E. 5</w:t>
      </w:r>
    </w:p>
    <w:p>
      <w:r>
        <w:t>Par identité de motifs, l'appelante ne saurait prétendre à une quelconque indemnité fondée sur l'art. 429 al. 1 CPP.</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6.2.1.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 ; ATF 125 V 408 consid. 3a p. 409 ; arrêts du Tribunal fédéral 6B_1410/2017 du 15 juin 2018 consid. 4.1 ; décision du Tribunal pénal fédéral BB.2015.85 du 12 avril 2016 consid. 3.2.3).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Dans une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 cf. ATF 118 Ia 133 consid. 2d p. 136 ; ATF 109 Ia 107 consid. 3b p. 111 ; arrêt du Tribunal fédéral 5P_462/2002 du 30 janvier 2003 consid. 2.3 ; voir aussi décision du Tribunal pénal fédéral BB.2015.85 du 12 avril 2016 consid. 3.2.2).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En l'occurrence, en application de ces principes, il convient d'arrêter à 6h l'activité déployée par M e C______ en appel, s'agissant de l'étude du dossier et de la rédaction d'un mémoire d'appel dont la motivation tient, à bon escient, sur moins de trois pages, dans un dossier censé être bien maîtrisé pour avoir été plaidé trois mois plus tôt seulement en première instance et n'ayant connu aucun rebondissement depuis lors. Aussi l'indemnité sera fixée à CHF 1'421.65 correspondant à 6h d'activité au tarif de CHF 200.-/heure (CHF 1'200.-) plus la majoration forfaitaire de 10% (compte tenu de l'indemnisation intervenue en première instance ; CHF 120.-) et l'équivalent de la TVA au taux de 7.7% en CHF 101.65.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