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P/11618/2025 vom 17. September 2025</w:t>
      </w:r>
    </w:p>
    <w:p>
      <w:r>
        <w:t>GE Cour de justice, 2025-09-17, FR</w:t>
      </w:r>
    </w:p>
    <w:p>
      <w:r>
        <w:rPr>
          <w:b/>
        </w:rPr>
        <w:t xml:space="preserve">Quelle: </w:t>
      </w:r>
      <w:r>
        <w:t>https://mcp.opencaselaw.ch/entscheid/ge_gerichte_P_11618_2025</w:t>
      </w:r>
    </w:p>
    <w:p>
      <w:r>
        <w:t>FR: GE_GERICHTE P/11618/2025 du 17 septembre 2025</w:t>
      </w:r>
    </w:p>
    <w:p>
      <w:r>
        <w:t>IT: GE_GERICHTE P/11618/2025 del 17 settembre 2025</w:t>
      </w:r>
    </w:p>
    <w:p>
      <w:pPr>
        <w:pStyle w:val="Heading2"/>
      </w:pPr>
      <w:r>
        <w:t>Regeste</w:t>
      </w:r>
    </w:p>
    <w:p>
      <w:r>
        <w:t>INSTRUCTION(ENSEIGNEMENT);DIFFAMATION;CALOMNIE;ABUS D'AUTORITÉ;DROIT DE LA FONCTION PUBLIQUE;RÉSILIATION | CPP.310; CP.173; CP.174; CP.177; CP.312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la non-entrée en matière prononcée à la suite de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2.2.1. Se rend coupable de diffamation au sens de l'art. 173 CP quiconque, en s'adressant à un tiers, accuse une personne ou jette sur elle le soupçon de tenir une conduite contraire à l'honneur ou de tout autre fait propre à porter atteinte à sa considération et quiconque propage une telle accusation ou un tel soupçon (ch. 1). Le prévenu n'encourra aucune peine s'il prouve que les allégations qu'il a articulées sont conformes à la vérité ou qu'il avait des raisons sérieuses de les tenir de bonne foi pour vraies (ch. 2); il ne sera cependant pas admis à faire ces preuves s’il s’est exprimé sans motif suffisant et a agi principalement pour dire du mal d’autrui (ch. 3). 2.2.2. Le ministère public est autorisé, selon les circonstances, à rendre une ordonnance de non-entrée en matière, de classement ou une ordonnance pénale lorsqu'une infraction de diffamation (art. 173 CP) est en cause. Toute compétence décisionnelle ne lui est pas non plus déniée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Ne pas l'admettre serait contraire au principe d'économie de procédure puisqu'il tendrait à imposer un renvoi en jugement dans tous les cas où les conditions de l'art.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et les références citées). 2.2.3.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(cf. art. 173 ch. 2 CP; arrêts du Tribunal fédéral 6B_1040/2022 du 23 août 2023 consid. 3.1.1 et 6B_1215/2020 du 22 avril 2021 consid. 3.1). 2.2.4. Se rend coupable d'injure au sens de l'art. 177 CP quiconque attaque autrui dans son honneur par la parole, l’écriture, l’image, le geste ou par des voies de fait. 2.3.1.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105 IV 194 consid. 2a). 2.3.2.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w:t>
      </w:r>
    </w:p>
    <w:p>
      <w:r>
        <w:rPr>
          <w:b/>
        </w:rPr>
        <w:t>E. 2.4</w:t>
      </w:r>
    </w:p>
    <w:p>
      <w:r>
        <w:t>L'art. 312 CP vise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2.5</w:t>
      </w:r>
    </w:p>
    <w:p>
      <w:r>
        <w:t>En l'espèce, le recourant reproche en substance aux mis en cause d'avoir formulé différents griefs à son encontre relatifs à la façon dont il exerçait sa charge d'enseignant au collège D______. Ces griefs circonstanciés lui ont été rappelés/signifiés dans un courrier du 21 février 2025 de sa hiérarchie le convoquant à un entretien de service, le 13 mars 2025 pour l'entendre sur ceux-ci en regard d'une éventuelle insuffisance des prestations pouvant conduire à la résiliation des rapports de service, étant précisé qu'en attendant, il était libéré provisoirement de l'obligation de travailler. Les griefs énumérés concernent la plainte de parents, à compter de juin 2022, relativement à des problématiques liées à l'habillement et à la notation des élèves, notamment; des absences sans motif valable, lesquelles avaient fait l'objet d'une lettre de recadrage le 30 mai 2023; de nouvelles plaintes de parents en 2024 concernant des renvois d'élèves, la notation des épreuves et des expériences conduites avec le feu sans supervision; un entretien du 24 juin 2024 avec E______ portant sur son enseignement et ses évaluations, à l'occasion duquel ce dernier avait regretté son manque de remise en question; un courriel du 25 juin 2024 accusant E______ de falsification de notes; un entretien de service le 28 juin 2024 relatif à son refus de participer à la journée du ______ème anniversaire du collège au motif qu'il estimait que "les divertissements frivoles déshonoraient [sa] profession" ; ses démarches auprès de la Chambre administrative de la Cour de justice et de K______, dans lesquelles il accusait E______ d'abus d'autorité, de falsification de notes, de "dissimulation" et de "trahison" notamment, portant ainsi atteinte à son honneur; son absence à la conférence de rentrée du personnel en août 2024; le blâme du 26 août 2024 qui lui avait été infligé pour n'avoir pas participé à la journée du ______ème anniversaire du collège; ses propos à l'encontre de E______, adressés à C______ à l'automne 2024, selon lesquels son discours était "caricatural, mensonger, menaçant, hostile" et son profil "manipulateur" , notamment; son absence à la journée d'études cantonale organisée par le Département, sans excuse préalable; ses accusations de "mauvaise foi" à l'endroit de C______ à la suite du blâme infligé; un départ de feu dans sa classe le 31 janvier 2025, dont les investigations avaient révélé que l'expérience sur l'ébullition de l'alcool menée avait été réalisée dans un espace insuffisamment ventilé. Force est ainsi de constater, à l'instar du Ministère public, que de tels reproches s'inscrivent non seulement exclusivement dans le cadre de la fonction d'enseignant du recourant, mais encore sont documentés par les annexes au courrier du 21 février 2025, de sorte qu'ils n'apparaissent aucunement "fantaisistes" . En tant qu'ils concernent les aptitudes professionnelles du recourant, ils ne sont pas attentatoires à son honneur, au sens de la jurisprudence sus-rappelée, quand bien même l'intéressé les réfuterait ou se sentirait injustement critiqué. La convocation du recourant à un entretien de service destiné à lui permettre d'exercer son droit d'être entendu sur les reproches formulés à son endroit est un mécanisme prévu par les dispositions légales administratives applicables au corps enseignant. Le recourant ne conteste d'ailleurs pas avoir pu se déterminer sur ceux-ci. À cette aune, l'ordonnance querellée est justifiée. Elle l'est également en tant que la plainte du recourant vise des parents d'élèves, leurs griefs (avoir fait des remarques blessantes à leurs enfants, les avoir rabaissés et leur avoir mis de mauvaises notes) étant exclusivement en lien avec l'activité professionnelle de l'intéressé et ne tombant ainsi pas sous le coup des dispositions pénales protégeant l'honneur. Que le recourant estime sa réputation entachée par ces reproches n'est pas déterminant dès lors qu'il s'agit-là à nouveau de sa réputation professionnelle. Quant à l'infraction dénoncée de "harcèlement moral au travail" , non prévue par le Code pénal et que le recourant qualifie désormais d'abus d'autorité au sens de l'art. 312 CP – reprochant à C______, E______ et H______ de lui avoir nui personnellement et de l'avoir harcelé moralement –, elle n'apparaît pas davantage réalisée à l'aune de ce qui précède, les mesures administratives prises à son égard entrant manifestement dans le cadre des prérogatives des mis en cause. Rien ne permet en outre d'affirmer que l'élément subjectif (dessein de nuire) serait établi, compte tenu des manquements et autres griefs formulés à l'égard du recourant. À nouveau, que le recourant les perçoit comme une forme de harcèlement à son égard ne reflète que son propre sentiment, non étayé par les éléments du dossier.</w:t>
      </w:r>
    </w:p>
    <w:p>
      <w:r>
        <w:rPr>
          <w:b/>
        </w:rPr>
        <w:t>E. 3</w:t>
      </w:r>
    </w:p>
    <w:p>
      <w:r>
        <w:t>Fondée, l'ordonnance querellée sera donc confirmée. Le recours, qui s'avère infondé, pouvait être d'emblée traité sans échange d'écritures ni débats (art. 390 al. 2 et 5 a contrario CPP).</w:t>
      </w:r>
    </w:p>
    <w:p>
      <w:r>
        <w:rPr>
          <w:b/>
        </w:rPr>
        <w:t>E. 4</w:t>
      </w:r>
    </w:p>
    <w:p>
      <w:r>
        <w:t>Le recourant, qui succombe, supportera les frais envers l'État, fixés en intégralité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