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P/11561/2017 vom 10. April 2019</w:t>
      </w:r>
    </w:p>
    <w:p>
      <w:r>
        <w:t>GE Cour de justice, 2019-04-10, FR</w:t>
      </w:r>
    </w:p>
    <w:p>
      <w:r>
        <w:rPr>
          <w:b/>
        </w:rPr>
        <w:t xml:space="preserve">Quelle: </w:t>
      </w:r>
      <w:r>
        <w:t>https://mcp.opencaselaw.ch/entscheid/ge_gerichte_P_11561_2017</w:t>
      </w:r>
    </w:p>
    <w:p>
      <w:r>
        <w:t>FR: GE_GERICHTE P/11561/2017 du 10 avril 2019</w:t>
      </w:r>
    </w:p>
    <w:p>
      <w:r>
        <w:t>IT: GE_GERICHTE P/11561/2017 del 10 aprile 2019</w:t>
      </w:r>
    </w:p>
    <w:p>
      <w:pPr>
        <w:pStyle w:val="Heading2"/>
      </w:pPr>
      <w:r>
        <w:t>Regeste</w:t>
      </w:r>
    </w:p>
    <w:p>
      <w:r>
        <w:t>LÉSION CORPORELLE SIMPLE ; PLAINTE PÉNALE; RETRAIT(VOIE DE DROIT) ; PRINCIPE DE L'ACCUSATION ; VIOLENCE DOMESTIQUE | CPP.9; CPP.325.al1; CP.217; CP.30; CP.123; CP.179septies; CPP.426.al2; CPP.428.al2; CPP.429.al1.leta; CPP.442.al4</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novembre 2009 consid. 2.1). 2.1.2.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(arrêts du Tribunal fédéral 6B_623/2012 du</w:t>
      </w:r>
    </w:p>
    <w:p>
      <w:r>
        <w:rPr>
          <w:b/>
        </w:rPr>
        <w:t>E. 6</w:t>
      </w:r>
    </w:p>
    <w:p>
      <w:r>
        <w:t>février 2013 consid. 2.1 et 6B_642/2012 du 22 janvier 2013 consid. 1.1).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2.1.3.1. L'art. 9 CPP consacre la maxime d'accusation, laquelle découle également des art. 29 al. 2 Cst. (droit d'être entendu), 32 al. 2 Cst. (droit d'être informé, dans les plus brefs délais et de manière détaillée, des accusations portées contre soi) et art. 6 par. 3 let. a CEDH (droit d'être informé de la nature et de la cause de l'accusation). 2.1.3.2.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6.4</w:t>
      </w:r>
    </w:p>
    <w:p>
      <w:r>
        <w:t>En l'occurrence l'état de frais produit par M e E______, considéré dans sa globalité, paraît adéquat et conforme aux principes applicables en la matière, à l'exception du temps consacré à la rédaction d'un courrier à sa cliente et des frais de l'Etude, couvert par le forfait pour activités diverses, ainsi que du temps estimé pour l'audience d'appel, qu'il y a lieu de ramener à une heure et 45 minutes. Il y a également lieu de fixer le tarif horaire à CHF 200.-, ainsi que d'allouer la vacation relative aux débats d'appel de CHF 100.-. En conclusion, l'indemnité sera arrêtée à CHF 1'292.40, correspondant à quatre heures et 35 minutes d'activité au tarif de CHF 200.-/heure, plus la majoration forfaitaire de 20% [CHF 183.35], la vacation [CHF 100.-] et l'équivalent de la TVA au taux de 7.7% [CHF 92.40]. * * * * *</w:t>
      </w:r>
    </w:p>
    <w:p>
      <w:r>
        <w:rPr>
          <w:b/>
        </w:rPr>
        <w:t>E. 10</w:t>
      </w:r>
    </w:p>
    <w:p>
      <w:r>
        <w:t>heures et cinq minutes d'activité au tarif de CHF 280.-/heure, comprenant une heure d'entretien avant l'audience d'appel, la durée des débats (1h45) ainsi que CHF 100.- allouées d'office à titre de vacation, plus l'équivalent de la TVA (CHF 225.09), sera réduite d'un tiers afin d'être ramenée à une proportion identique à celle des frais supportée par l'appelant. L'indemnité allouée à ce dernier pour ses frais de défense en appel sera dès lors arrêtée à CHF 2'098.95. 5.4. Conformément à l'art. 442 al. 4 CPP, le montant des indemnités allouées à A______ sera compensé avec les frais de procédure mis à sa charge (ATF 143 IV 293 consid. 1). 6. 6.1. Selon l'art. 138 al. 1 CPP, le conseil juridique gratuit est indemnisé conformé-ment au tarif des avocats du canton du for du procès. L'art. 16 du règlement sur l'assistance juridique du 28 juillet 2010 (RAJ ; E 2 05.04) dispose que l'indemnité, en matière pénale, est calculée selon le tarif horaire suivant, débours de l'étude inclus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