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P/11500/2024 vom 23. Mai 2025</w:t>
      </w:r>
    </w:p>
    <w:p>
      <w:r>
        <w:t>GE Cour de justice, 2025-05-23, FR</w:t>
      </w:r>
    </w:p>
    <w:p>
      <w:r>
        <w:rPr>
          <w:b/>
        </w:rPr>
        <w:t xml:space="preserve">Quelle: </w:t>
      </w:r>
      <w:r>
        <w:t>https://mcp.opencaselaw.ch/entscheid/ge_gerichte_P_11500_2024</w:t>
      </w:r>
    </w:p>
    <w:p>
      <w:r>
        <w:t>FR: GE_GERICHTE P/11500/2024 du 23 mai 2025</w:t>
      </w:r>
    </w:p>
    <w:p>
      <w:r>
        <w:t>IT: GE_GERICHTE P/11500/2024 del 23 maggio 2025</w:t>
      </w:r>
    </w:p>
    <w:p>
      <w:pPr>
        <w:pStyle w:val="Heading2"/>
      </w:pPr>
      <w:r>
        <w:t>Regeste</w:t>
      </w:r>
    </w:p>
    <w:p>
      <w:r>
        <w:t>CIRCULATION À DROITE;CROISEMENT(EN GÉNÉRAL);FRAIS JUDICIAIRES;DÉPENS | LCR.34.al1; LCR.34.al4; LCR.35.al2; OCR.9.al1; OCR.9.al2; CPP.428; CPP.429.al1.letA</w:t>
      </w:r>
    </w:p>
    <w:p>
      <w:pPr>
        <w:pStyle w:val="Heading2"/>
      </w:pPr>
      <w:r>
        <w:t>Erwägungen</w:t>
      </w:r>
    </w:p>
    <w:p>
      <w:r>
        <w:rPr>
          <w:b/>
        </w:rPr>
        <w:t>E. 1.1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 Le pouvoir d'examen de l'autorité d'appel est limité à l'arbitraire en ce qui concerne l'établissement des faits (arrêt du Tribunal fédéral 6B_434/2019 du 5 juillet 2019 consid. 1.1).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Une décision n'est pas arbitraire du seul fait qu'elle apparaît discutable ou même critiquable ; il faut qu'elle soit manifestement insoutenable et cela non seulement dans sa motivation mais aussi dans son résultat (ATF 143 IV 241 consid. 2.3.1).</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Au contraire, lorsque subsistent des doutes insurmontables quant aux éléments factuels justifiant une condamnation, le tribunal se fonde sur l'état de fait le plus favorable au prévenu.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Lorsque l'appréciation des preuves et la constatation des faits sont critiquées en référence à la présomption d'innocence (art. 6 par. 2 CEDH, 32 al. 1 Cst. et 10 CPP), le principe in dubio pro reo n'a pas de portée plus large que l'interdiction de l'arbitraire (ATF 146 IV 88 consid. 1.3.1 ; 145 IV 154 consid. 1.1).</w:t>
      </w:r>
    </w:p>
    <w:p>
      <w:r>
        <w:rPr>
          <w:b/>
        </w:rPr>
        <w:t>E. 3</w:t>
      </w:r>
    </w:p>
    <w:p>
      <w:r>
        <w:t>3. 1. L'art. 90 LCR constitue la base légale pour réprimer les violations de règles de la circulation. L'art. 90 LCR étant 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L'art. 90 al. 1 prévoit une peine d'amende pour les violations dites simples des règles de circulation.</w:t>
      </w:r>
    </w:p>
    <w:p>
      <w:r>
        <w:rPr>
          <w:b/>
        </w:rPr>
        <w:t>E. 3.2</w:t>
      </w:r>
    </w:p>
    <w:p>
      <w:r>
        <w:t>Selon l'art. 34 al. 1 LCR, les véhicules tiendront leur droite et circuleront, si la route est large, sur la moitié droite de celle-ci. Ils longeront le plus possible le bord droit de la chaussée, en particulier s'ils roulent lentement ou circulent sur un tronçon dépourvu de visibilité. La règle essentielle imposant de tenir sa droite a pour but principal de faciliter la circulation des véhicules roulant en sens contraire (croisement) (JEANNERET/KUHN/MIZEL/RISKE, CS-CR commenté, 5 ème éd., Bâle 2024, n. 1.1 ad art. 34 LCR). Le principe de la circulation sur la moitié droite de la route n'est pas applicable aux chaussées de faible largeur (ATF 94 IV 120 = JdT 1969 I 415 n. 33). Il appartiendra alors au conducteur de prendre d'autres précautions, par exemple en réduisant son allure dans l'éventualité d'un croisement. Un obstacle ne transforme pas une route en route étroite (ATF 91 IV 37 = JdT 1965 I 417 n. 28). Mais si une file de véhicules automobiles est stationnée sur la droite, il faut en tenir compte pour fixer le milieu idéal de la chaussée et le conducteur venant en sens inverse par rapport à celui qui longe les véhicules automobiles arrêtés doit contribuer à faciliter le croisement (JEANNERET/KUHN/MIZEL/RISKE, op.cit., n. 1.5 n. 3 ad art. 34 LCR et ses références).</w:t>
      </w:r>
    </w:p>
    <w:p>
      <w:r>
        <w:rPr>
          <w:b/>
        </w:rPr>
        <w:t>E. 3.3</w:t>
      </w:r>
    </w:p>
    <w:p>
      <w:r>
        <w:t>En vertu de l'art. 34 al. 4 LCR, le conducteur doit observer une distance suffisante envers tous les usagers de la route, notamment pour croiser, dépasser et circuler de front ou lorsque des véhicules se suivent. Il n'y a pas de règle générale développée par la jurisprudence qui indiquerait à partir de quelle distance une violation des règles de la circulation pourrait être retenue. Ce qu'il faut comprendre par " distance suffisante " au sens dudit article doit être déterminé au regard de toutes les circonstances du cas d'espèce, notamment de la largeur de la chaussée, du type de véhicule, de la visibilité du trajet et de la vitesse respectée par le conducteur lui-même. Plus celle-ci est grande, plus il est difficile d'estimer la distance au décimètre près et de parer efficacement à un danger survenant au cours du croisement en ralentissant la marche, en s'arrêtant ou en s'écartant (arrêts du Tribunal fédéral 6B_656/2020 du 23 juin 2021 consid. 4.2 ; 6B_894/2020 du 26 novembre 2020 consid. 2.1 ; 6B_1139/2019 du 3 avril 2020 consid. 2.2 ; ATF 97 II 362 consid. 2 ; ATF 131 IV 133 consid. 3.1). Si en principe, les véhicules ont le droit de se tenir à 20 cm de la ligne de direction même sur une chaussée relativement étroite, ce droit ne trouve pas application au moment de croiser (ATF 107 IV 44 consid. 2c), lors duquel, les deux conducteurs doivent appuyer l'un et l'autre sur leur droite, de façon à laisser entre les véhicules un espace suffisant qui doit en tout cas excéder 50 cm sur un tronçon rectiligne (ATF 107 IV 44 consid. 2c = JdT 1981 I 422 n. 21), en s'écartant au besoin suffisamment de la ligne de direction, même si l'autre conducteur est en faute et s'il a le temps et la place pour cet évitement. Ce n'est toutefois que dans des cas très exceptionnels que l'on pourra exiger du conducteur qu'il sorte de la route ou monte sur le trottoir – il en va ainsi à l'approche de véhicules prioritaires – (ATF 97 II 362 = JdT 1972 I 411 n. 25 ; JEANNERET/KUHN/MIZEL/RISKE, op. cit., n. 1.7 ad art. 35 LCR). En présence d'un véhicule qui empiète sur la gauche, l'on pourra exiger de l'autre conducteur qu'il appuie sur la droite dans toute la mesure où les circonstances le lui permettront, sans qu'il puisse revendiquer pour lui toute la moitié de la route ou toute la largeur de la voie marquée (ATF 107 IV 44 consid. 2c = JdT 1981 I 422 n. 21 ; JEANNERET/KUHN/MIZEL/RISKE, op. cit., n. 1.14 ad art. 34 LCR et n. 1.7 ad art. 35 LCR).</w:t>
      </w:r>
    </w:p>
    <w:p>
      <w:r>
        <w:rPr>
          <w:b/>
        </w:rPr>
        <w:t>E. 3.4</w:t>
      </w:r>
    </w:p>
    <w:p>
      <w:r>
        <w:t>Selon l'art. 35 al. 2 LCR, il n'est permis de contourner un obstacle que si l'espace nécessaire est libre et bien visible et que si les usagers de la route venant en sens inverse ne sont pas gênés par la manœuvre. Cette disposition reconnaît la priorité du véhicule en sens inverse. Bien que prioritaire, si ce dernier constate un risque d'accident, il lui appartiendra de faire tout son possible pour l'éviter ou pour en diminuer les conséquences, soit par un appui plus marqué sur la droite, soit par un ralentissement ou même l'arrêt (JEANNERET/KUHN/MIZEL/RISKE, op. cit., n. 2.11 ad art. 35 LCR). Dans le cas d'un dépassement et croisement simultanés, s'il y a une ligne de direction, le dépassant est autorisé à la franchir pour autant qu'il subsiste une place suffisante pour le véhicule qui survient en sens inverse. Si le véhicule à croiser doit faire une manœuvre d'évitement risquée pour éviter une collision, il est gêné en sorte que le dépassant enfreint l'art. 35 al. 2 LCR (JEANNERET/KUHN/MIZEL/RISKE, op. cit., n. 2.12 ad art. 35 LCR). En complément, l'art. 9 al. 1 OCR prévoit que le conducteur accordera la priorité à la circulation venant en sens inverse si un obstacle qui rendrait le croisement difficile se trouve sur la moitié de la chaussée qu'il emprunte. L'art. 9 al. 2 OCR pose des règles de priorité selon les catégories de véhicules lorsqu'une " route étroite ne permet pas de croiser " (croisement impossible), c'est-à-dire si un véhicule circulant correctement ne peut en croiser un autre sans empiéter sur sa voie (ATF 104 IV 261 = JdT 1979 I 444 n. 40). Selon ledit article, les véhicules les plus grands ont la priorité sur les plus petits. Selon la jurisprudence, ladite règle de priorité ne s'applique pas si l'obstacle qui rétrécit temporairement la largeur de la route se trouve manifestement d'un seul côté, notamment en cas de véhicules automobiles parqués au bord de la chaussée sur des cases de stationnement marquées. Cette situation appelle à l'application de l'art. 9 al. 1 OCR (ATF 106 IV 283 = JdT 1981 I 440 n. 28 ; JEANNERET/KUHN/MIZEL/RISKE, op. cit., Bâle 2024, n. 1.13 d et 3.7 ad art. 35 LCR). En ce sens, si l'espace disponible n'est pas assez large, le conducteur empêché dans sa progression par l'obstacle devra s'arrêter. Si le croisement est néanmoins possible de façon commode, la continuation de la marche sera poursuivie, mais avec des précautions à la charge du prioritaire. Si l'espace libre et visible est relativement court, le contournement du véhicule arrêté ne sera pas interdit, mais exigera des précautions particulières, en particulier une vitesse permettant l'arrêt quasi instantané ; mais si l'arrêt ne doit pas durer longtemps et si le risque de la continuation de la marche est grand, le conducteur sera tenu d'attendre (JEANNERET/KUHN/MIZEL/RISKE, op. cit., Bâle 2024, n. 3.8 ad art. 35 LCR). 3.5.1. En l'espèce, l'appelant invoque une constatation inexacte des faits, en particulier s'agissant de la distance latérale entre les véhicules pour se croiser ainsi que du lieu où le croisement s'est déroulé, soutenant que celui entre le bus qu'il conduisait et l'automobiliste C______ avait eu lieu plus en arrière selon son sens de marche, là où se situe l'aire de stationnement et où la route est plus large. Cette déclaration s'oppose à ce qui figure dans le rapport de police (cf. croquis 2 ème phase de la police, en annexe au procès-verbal d'audience de jugement) et a été considéré comme établi par le TP, soit que le croisement avait eu lieu à la hauteur du panneau de l'arrêt TPG " H______ ", là où l'automobiliste C______ semblait s'être arrêté. Il ressort de l'analyse des pièces au dossier (cf. vidéo-surveillance – caméra couloir, 20:51:57) que la scootériste était couchée au sol directement derrière le véhicule de l'automobiliste C______, à l'endroit où se situe le panneau en question. Les images démontrent également que l'avant du bus croise celui du véhicule C______ au niveau du panneau (cf. vidéo-surveillance – caméra porte 1 et 2, 20:51:55). Par ailleurs, il apparaît aussi sur la vidéo-surveillance que le croisement avec le premier automobiliste D______ a eu lieu un peu plus en arrière dans le sens de la marche du bus, là où la voie du bus, qui se rétrécit progressivement suivant un " effet entonnoir ", est un peu plus large, puisque l'on peut uniquement apercevoir l'aire de stationnement, le trottoir abaissé, mais non le panneau de l'arrêt TPG (cf. vidéo-surveillance – caméra porte 2 et couloir, 20:51:54). À l'emplacement du croisement, soit au niveau du panneau, la largeur de la voie empruntée par le bus est la plus étroite, soit 2m45, et celle de l'automobiliste C______ mesure 2m90. Dans une telle configuration, en tenant compte de la largeur du bus de 2m55, ce dernier empiétait d'au moins 10 cm, et, considérant les déclarations de l'appelant, qui circulait à 20 cm des voitures parquées sur les places longitudinales, le bus empiétait de 30 cm sur la voie de circulation inverse, de sorte que l'espace pour croiser était de 48 cm. Il appert que le bus était en train de terminer sa manœuvre déjà bien entamée, puisqu'au moment de croiser, son arrière se situait à la hauteur du dernier véhicule stationné se trouvant sur sa droite. Le bus s'avançait ainsi sur une voie qui reprenait toute sa largeur lorsque l'automobiliste s'est approché de lui et a entrepris de poursuivre sa route (cf. vidéo-surveillance – caméra porte 1, 20:51:55). En outre, le bus circulait à une vitesse entre 18 à 20 km/h, soit une vitesse suffisamment adaptée pour parer à un danger survenant au cours du croisement, d'autant plus qu'il avait déjà commencé sa manœuvre de contournement d'obstacle dans un espace libre et bien visible, ayant déjà croisé sans encombre l'automobiliste D______. Ainsi, le lieu de croisement n'est pas celui préconisé par l'appelant, et l'on peut suivre, raisonnablement et sans doute possible, la version du premier juge selon laquelle le croisement a eu lieu à la hauteur du panneau, alors que le bus empiétait de 30 cm sur la voie de circulation inverse. 3.5.2. Il s'ensuit que l'automobiliste C______, en voyant le bus empiéter sur sa voie, avait le devoir de s'appuyer sur sa droite au moment de croiser, dans la mesure où les circonstances le permettaient, principalement au vu de la manœuvre entamée par un véhicule de gros gabarit, circulant à faible allure et visible, alors que lui-même n'avait pas d'obstacle sur sa droite, mais au contraire, s'approchait du trottoir abaissé qui lui aurait permis de serrer à l'extrême droite sans risque, sinon de s'arrêter pour laisser passer le bus, qui terminait sa manœuvre. Il n'était néanmoins pas attendu de sa part qu'il roule sur le trottoir ou qu'il freine " brusquement " pour éviter une collision, puisque l'automobiliste le précédent avait été en mesure de croiser le bus. Le rapport de police n'établit pas les conditions objectives, telle que la vitesse de l'automobiliste impliqué, de manière à déterminer si celui-ci a véritablement été contraint de freiner énergiquement. Compte tenu de la largeur du véhicule C______ et à supposer que l'automobiliste ait pu circuler tout contre le trottoir bordant la droite de sa voie de circulation, à l'endroit le plus étroit d u croisement, un espace de 48 cm séparait le bus dudit véhicule. Selon le premier juge, cet écart était réduit à 28 cm (48 cm - 20 cm = 28 cm), pour tenir compte de ce que l'automobiliste était en droit de circuler à 20 cm du trottoir. Or, vu la configuration des lieux, l'on ne peut suivre le raisonnement du TP selon lequel l'automobiliste C______ ne pouvait pas circuler plus près qu'à 20 cm du trottoir, puisqu'au cours de sa manœuvre, l'appelant pouvait raisonnablement compter sur le fait que ledit automobiliste allait serrer sa droite et se coller contre le trottoir abaissé vers lequel il approchait. C'est d'ailleurs bien ce qu'a fait le véhicule qui le précédait (l'automobiliste D______) en contribuant à faciliter le croisement. S'il pensait avoir l'espace suffisant pour croiser, l'appelant a été conforté en cela par le croisement avec ce dernier automobiliste. De plus, il faut raisonnablement tenir compte du fait que le bus terminait sa manœuvre, qu'il s'avançait sur une voie qui reprenait toute sa largeur. En conséquence, l'on peut retenir que la distance latérale suffisait encore à effectuer le croisement à faible allure. Partant, le comportement de l'appelant reste conforme à l'art. 34 al. 4 LCR, étant précisé que la règle de hiérarchie de priorité prévu à l'art. 9 al. 2 OCR ne s'applique pas, l'obstacle qui rétrécit la route se trouvant d'un seul côté, le bus n'ayant alors pas la priorité sur le véhicule venant en sens inverse (art. 9 al. 1 OCR), contrairement à ce que soutient l'appelant. Cela étant, on rappellera que ce dernier était déjà engagé dans sa manœuvre de contournement lorsque le croisement s'est produit et avait adapté sa vitesse en fonction de la situation, ce qui lui aurait permis au besoin un arrêt quasi instantané, voire aurait permis à d'éventuels véhicules prioritaires de l'apercevoir à temps, d'anticiper et de réagir en conséquence. Ainsi, il n'était pas attendu de lui qu'il s'arrête en pleine manœuvre de contournement, puisque rouler à faible allure était conforme à l'art. 9 al. 1 OCR. Il devait en outre être attendu de l'automobiliste C______ qu'il laisse le bus terminer sa manœuvre ou se serre à droite pour contribuer à faciliter le croisement. Ce dernier comportement ne constitue pas une manœuvre d'évitement risquée au vu de la configuration des lieux, et l'automobiliste n'a pas été gêné, de sorte que l'appelant n'a pas non plus violé l'art. 35 al. 2 LCR. En définitive, l'appel sera admis et A______ acquitté.</w:t>
      </w:r>
    </w:p>
    <w:p>
      <w:r>
        <w:rPr>
          <w:b/>
        </w:rPr>
        <w:t>E. 4</w:t>
      </w:r>
    </w:p>
    <w:p>
      <w:r>
        <w:t>Vu l'issue de la cause, l'intégralité des frais sera laissée à la charge de l'État (art. 428 al. 1 CPP a contrario).</w:t>
      </w:r>
    </w:p>
    <w:p>
      <w:r>
        <w:rPr>
          <w:b/>
        </w:rPr>
        <w:t>E. 5</w:t>
      </w:r>
    </w:p>
    <w:p>
      <w:r>
        <w:t>5.1.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w:t>
      </w:r>
    </w:p>
    <w:p>
      <w:r>
        <w:rPr>
          <w:b/>
        </w:rPr>
        <w:t>E. 5.2</w:t>
      </w:r>
    </w:p>
    <w:p>
      <w:r>
        <w:t>Les démarches superflues, abusives ou excessives ne sont pas indemnisées (ATF 115 IV 156 consid. 2d p. 160). Les honoraires d'avocat doivent ainsi être proportionnés (N. SCHMID, Schweizerische Strafprozessordnung : Praxiskommentar, 2 ème éd., Zurich 2013, n. 7 ad art. 429) ; le juge dispose d'une marge d'appréciation à cet égard, mais ne devrait pas se montrer trop exigeant dans l'appréciation rétrospective qu'il porte sur les actes nécessaires à la défense du prévenu (M. NIGGLI / M. HEER / H. WIPRÄCHTIGER [éd.], Schweizerische Strafprozessordnung / Schweizerische Jugendstrafprozessordnung , Basler Kommentar StPO/JStPO, 2 ème éd., Bâle 2014, n. 19 ad art. 429 ; ACPR/239/2017 ).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w:t>
      </w:r>
    </w:p>
    <w:p>
      <w:r>
        <w:rPr>
          <w:b/>
        </w:rPr>
        <w:t>E. 5.3</w:t>
      </w:r>
    </w:p>
    <w:p>
      <w:r>
        <w:t>Aussi,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w:t>
      </w:r>
    </w:p>
    <w:p>
      <w:r>
        <w:rPr>
          <w:b/>
        </w:rPr>
        <w:t>E. 5.4</w:t>
      </w:r>
    </w:p>
    <w:p>
      <w:r>
        <w:t>En l'occurrence, l'assistance de l'appelant par un avocat lui est acquise et l'état de frais produit apparaît adéquat, sous réserve de ce qui suit. Le temps consacré, pour la procédure de première instance et la procédure préliminaire, à des vacations et au visionnage de vidéo (130 minutes), tout comme 90 minutes de consultation du dossier, ne sera pas intégralement indemnisé, dans la mesure où il apparaît sans proportion avec la complexité factuelle de la cause, 1 heure 30 (180 minutes) apparaissant adéquate à ces fins. Le poste relatif à la correspondance adressée au SDC, I______ (assurance de protection juridique) et au Service des automobiles et de la navigation (SAN) (110 minutes), sans adéquation directe avec la procédure pénale, sera déduit de la note de frais et le temps facturé pour l'audience du TP ramené à sa durée effective (de 65 minutes). Quant à la rédaction du mémoire d'appel, le poste sera réduit à 3 heures (180 minutes) (au lieu de 6h50, 410 minutes), ce temps paraissant suffisant pour un acte comprenant quatre pages de discussion juridique, étant précisé que l'affaire n'est pas complexe. L'on peut aussi discuter le temps consacré à la prise de photo, mesures et vision locale (75 minutes) et la confection d'un bordereau de 13 photographies (30 minutes) composé de celles figurant déjà au dossier, compte tenu de la présence de caméras de surveillance dans le bus qui permettaient une nette visualisation des faits et des photographies des lieux prises par la police. Ces postes ne seront comptés qu'à hauteur de 60 minutes. Les 20 minutes liées à la correspondance à l'attention de la CAP et du TP seront également déduites. Enfin, le temps consacré à la rédaction de la réplique spontanée (240 minutes), y compris les diverses communications y relatives (40 minutes), sera défalqué, puisque celle-ci reprend le même raisonnement juridique et le même constat des faits, sans ajouter de plus-value à la discussion juridique. Ainsi, l'activité utile à la procédure préliminaire et de première instance est arrêtée à 564 minutes (9 heures 24) et celle utile à la procédure d'appel à 290 minutes (4 heures 50), d'où une indemnité en faveur de l'appelant de CHF 5'846.75 (TVA en CHF 438.10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