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P/11475/2022 vom 26. September 2024</w:t>
      </w:r>
    </w:p>
    <w:p>
      <w:r>
        <w:t>GE Cour de justice, 2024-09-26, FR</w:t>
      </w:r>
    </w:p>
    <w:p>
      <w:r>
        <w:rPr>
          <w:b/>
        </w:rPr>
        <w:t xml:space="preserve">Quelle: </w:t>
      </w:r>
      <w:r>
        <w:t>https://mcp.opencaselaw.ch/entscheid/ge_gerichte_P_11475_2022</w:t>
      </w:r>
    </w:p>
    <w:p>
      <w:r>
        <w:t>FR: GE_GERICHTE P/11475/2022 du 26 septembre 2024</w:t>
      </w:r>
    </w:p>
    <w:p>
      <w:r>
        <w:t>IT: GE_GERICHTE P/11475/2022 del 26 settembre 2024</w:t>
      </w:r>
    </w:p>
    <w:p>
      <w:pPr>
        <w:pStyle w:val="Heading2"/>
      </w:pPr>
      <w:r>
        <w:t>Regeste</w:t>
      </w:r>
    </w:p>
    <w:p>
      <w:r>
        <w:t>BRIGANDAGE;COAUTEUR(DROIT PÉNAL);PEINE PRIVATIVE DE LIBERTÉ;TORT MORAL;FRAIS JUDICIAIRES;INDEMNITÉ(EN GÉNÉRAL);DÉFENSE D'OFFICE | CP.140.al1; CP.47; cp.40; CP.42; CO.47; CO.49; CPP.428; CPP.433; CPP.135</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L'appel ne suspend la force de chose jugée du jugement attaqué que dans les limites des points contestés (art. 402 CPP).</w:t>
      </w:r>
    </w:p>
    <w:p>
      <w:r>
        <w:rPr>
          <w:b/>
        </w:rPr>
        <w:t>E. 1.2</w:t>
      </w:r>
    </w:p>
    <w:p>
      <w:r>
        <w:t>À titre liminaire, il sied de constater que le verdict de culpabilité retenu à l'encontre de l'appelant du chef de consommation de stupéfiants (art. 19a al. 1 LStup), de même que l'amende prononcée pour sanctionner cette infraction, ne sont plus contestés en appel et sont ainsi acquis. Seul le verdict de culpabilité rendu du chef de brigandage (art. 140 al. 1 CP) demeure litigieux.</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2.2.1. L'art. 140 ch. 1 CP réprime le comportement de celui qui aura commis un vol en usant de violence à l'égard d'une personne, en la menaçant d'un danger imminent pour la vie ou l'intégrité corporelle ou en la mettant hors d'état de résister. 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 à l'art. 140 al. 1 CP.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4.2 et 4.3.3). 2.2.2.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 2.2.3. Dans son arrêt 6B_438/2009 du 28 septembre 2009, le Tribunal fédéral a notamment confirmé la coactivité du chef de brigandage à l'égard d'un auteur qui, bien qu'il ait dans un premier temps essayé de dissuader ses acolytes de passer à l'action, était monté dans le même bus qu'eux et la victime, avait discuté avec ceux-ci du projet de la détrousser, avait accompagné son comparse lorsque celui-ci avait agressé la victime ‒ étant en particulier relevé qu'en restant à proximité lors de l'agression, il avait montré qu'il s'y associait, alors qu'il aurait très bien pu ne pas suivre son comparse ‒, s'était débarrassé du sac de cette dernière et avait participé au partage du butin, ce qui ‒ sans être essentiel ‒ constituait néanmoins un élément d'appréciation non négligeable dans la qualification de la coaction. Aussi, son comportement n'avait pas été purement passif, tous ces actes constituant au contraire des comportements actifs, qui dénotaient qu'il s'était associé pleinement à la décision de commettre le brigandage. 2.3.1. En l'espèce, il est établi et non contesté que, le 24 mai 2022, aux environs de 03h17, l'appelant, G______ et E______ ont approché, à la hauteur du monument Brunswick, C______, touriste aviné, qui attendait un taxi assis sur des marches. Tandis que E______ s'est assis à sa gauche, G______ et l'appelant sont demeurés debout, sur sa droite. Il est également établi par les déclarations concordantes du plaignant et de G______, corroborées par celles de l'appelant durant la procédure préliminaire et de première instance, qu'après quelques instants, en l'absence de tout échange substantiel avec C______, E______ lui a ordonné de remettre l'intégralité de ses effets personnels. À cet égard, E______ n'a pas contesté le jugement du TP, entré en force en ce qui le concerne, lequel lui impute la tenue desdits propos. L'appelant les a entendus. Alors que le plaignant n'a pas donné suite à l'injonction de G______, celui-ci a, de son propre aveu, asséné, toujours en présence de E______ et de l'appelant, un coup de pied circulaire au visage de C______, dont la tête a ensuite percuté les marches de l'escalier. Le précité a perdu connaissance. Conformément aux déclarations de E______ et de l'appelant avant les débats d'appel, il apparaît encore que les précités ont, à un moment indéterminé entre la prise de contact et le premier coup de pied, tous deux donné des " petites tapes " sur la nuque de C______. Les prévenus ont ensuite pris la fuite. Selon les déclarations de l'appelant devant le MP, il a alors entendu E______ ou G______ dire : " Mais pourquoi on ne lui a pas pris son argent? ". G______ est retourné au contact du plaignant, lui a asséné de nouveaux coups et a dérobé son portemonnaie. Sur la base des déclarations de G______ et de E______ lors de la procédure préliminaire et de celles de l'appelant devant la police, il est retenu que tous deux sont également retournés en direction du plaignant, étant précisé qu'ils se sont tenus à l'écart de la scène, à une distance indéterminée, laquelle leur a néanmoins permis d'assister à cette dernière. À son retour, G______ a remis une partie du contenu du portemonnaie de C______ à ses acolytes, en particulier deux billets de EUR 50.- à l'appelant, lequel les a acceptés. À teneur du rapport de police, fondé sur les constatations d'agents assermentés qu'aucun élément objectif ne permet de contredire, E______ et G______ ont été interpellés un peu plus tard, tandis que l'appelant est parvenu à prendre la fuite. Il sera précisé ici que les dénégations de l'appelant quant au fait qu'il n'aurait pas entendu l'ordre donné au plaignant de remettre ses effets, respectivement les regrets de l'un de ses acolytes de ne pas avoir pris ces derniers avant de prendre la fuite, formulées pour la première fois lors des débats d'appel en contradiction flagrante avec ses précédentes déclarations, apparaissent dictées par des considérations stratégiques liées aux enjeux de la procédure et, partant, dénuées de crédibilité. Ceci étant précisé, l'appelant persiste à contester avoir pris part à ce brigandage. Certes, il doit être retenu que l'appelant n'a pas lui-même assené de véritable coup à la victime au vu des éléments du dossier, la tape qu'il a admis lui avoir donnée n'étant, quoi qu'il en soit, pas visée par l'acte d'accusation. Il n'en demeure pas moins que l'appelant a, comme ses deux compagnons, décidé d'aborder un inconnu que tous trois ont entouré en se positionnant sur ses deux côtés. En l'absence de tout réel échange préalable avec le plaignant, ce dernier s'est rapidement vu intimer l'ordre de remettre ses affaires, puis a été frappé. Ces éléments démontrent l'existence d'une approche, d'emblée hostile, du trio. Lors de ce premier épisode, l'appelant est demeuré sur les lieux tout au long des faits. Il n'a eu aucune réaction après que E______ a demandé au plaignant de donner ses affaires, injonction qui initiait manifestement le brigandage, ni lorsque G______ a porté un coup de pied au visage de la victime, cette dernière n'ayant pas répondu favorablement à l'ordre donné par E______. L'appelant n'a, en particulier, protesté à aucun moment, ni ne s'est désolidarisé physiquement. Il n'a pas davantage réagi lorsque l'un de ses compagnons a déploré le fait qu'ils n'avaient pas emporté les effets du plaignant, ni lorsqu'il a constaté que G______ repartait au contact de ce dernier. Au contraire, quand bien même il n'est pas possible de les situer de manière fiable, il apparaît que l'appelant et E______ sont également retournés à proximité du plaignant, puisqu'ils se trouvaient alors suffisamment près pour observer le déroulement de la seconde agression. Le fait que le témoignage de J______ ne fasse état que d'un agresseur n'est dès lors pas déterminant à cet égard. Or, eu égard aux propos qui avaient été tenus jusque-là par ses compagnons et aux actes de violence ayant conduit le trio à prendre la fuite peu avant ces derniers, l'appelant ne pouvait ignorer que G______ allait mener jusqu'à son terme le brigandage débuté quelques minutes auparavant. Il admet d'ailleurs avoir pensé que son ami allait alors " terminer ce qu'il avait à faire ". L'appelant a touché une part du butin, à l'instar de ses comparses, peu après les faits. Il l'a directement acceptée, ses explications selon lesquelles il y aurait été " forcé " n'emportant aucune conviction. Il connaissait en outre la provenance criminelle de la somme remise, ce qu'il ne conteste pas réellement en appel. Les images de vidéosurveillance démontrent encore que l'appelant est bien demeuré avec ses comparses après les faits, le temps de déterminer si les cartes de crédit du plaignant pouvaient être utilisées, jusqu'à l'intervention de la police. Elles démontrent également que, contrairement à ce qu'il prétend, l'appelant ne s'est nullement distancé de G______. Il s'est au contraire montré cordial avec lui, n'hésitant pas à le " checker " et à rigoler avec lui pendant que son ami lui rejouait les scènes dont le plaignant avait été la victime. Enfin, l'appelant a, quoi qu'il en dise, pris la fuite à la vue de la police, ce qui tend à corroborer le fait qu'il avait conscience d'avoir commis des actes réprouvés. En définitive, l'appelant ne s'est, à aucun moment, dissocié des faits constitutifs de brigandage, tels que décrits dans l'acte d'accusation. 2.3.2. Au contraire, en agissant comme il l'a fait, l'appelant s'est, au plus tard en cours d'exécution, sciemment associé à E______ et à G______, à tout le moins par actes concluants, pour détrousser, au moyen de la violence, le plaignant de ses valeurs. Sa présence a constitué à cet égard un soutien actif, déterminant dans la commission des faits qu'il a approuvés tout du long. Preuve en est que G______ lui a immédiatement remis une part du butin recueilli. Tous les éléments constitutifs de l'infraction sont réalisés, sous la forme de la coactivité. Par conséquent, le verdict de culpabilité du chef de brigandage (art. 140 ch. 1 CP) rendu à l'encontre de l'appelant doit être confirmé.</w:t>
      </w:r>
    </w:p>
    <w:p>
      <w:r>
        <w:rPr>
          <w:b/>
        </w:rPr>
        <w:t>E. 3.1</w:t>
      </w:r>
    </w:p>
    <w:p>
      <w:r>
        <w:t>Le brigandage est puni d'une peine privative de liberté de six mois à dix ans.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3.2.2. D'après l'art. 40 CP, la durée minimale de la peine privative de liberté est de trois jours et de 20 ans au plus. 3.2.3. Le juge suspend en règle générale l'exécution notamment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rPr>
          <w:b/>
        </w:rPr>
        <w:t>E. 3.3</w:t>
      </w:r>
    </w:p>
    <w:p>
      <w:r>
        <w:t>La faute de l'appelant est importante. Il a pleinement pris part à un brigandage, de concert avec ses deux acolytes, au détriment d'une victime vulnérable. Il a agi pour un mobile égoïste, relevant de l'appât du gain facile. Il n'est pas contesté que sa responsabilité était pleine et entière, malgré l'alcool ingéré. Sa collaboration à la procédure n'a pas été bonne, au vu de ses dénégations persistantes, malgré les différents éléments de preuve recueillis à son encontre, et du rejet total de la responsabilité des faits sur ses comparses. Ses excuses apparaissent être avant tout de circonstance. Sa prise de conscience, encore embryonnaire, doit évoluer. La situation, tant personnelle que financière, de l'appelant était stable, celui-ci résidant notamment chez ses parents, et ne justifiait dès lors aucunement de tels agissements. À l'époque des faits, l'appelant n'avait jamais été condamné, ce qui constitue un facteur neutre. Au regard de ces éléments, une peine privative de liberté de 6 mois, sous déduction des 24 jours de détention effectués avant jugement (art. 51 CP), apparaît parfaitement adéquate pour sanctionner la faute de l'appelant, étant relevé qu'il s'agit de la peine plancher du brigandage. Le bénéfice du sursis est acquis à l'appelant (art. 391 al. 2 CPP), le délai d'épreuve fixé à trois ans étant au surplus approprié (art. 44 CP). Pour le reste, tel qu'observé précédemment ( supra , ch. 1.2.), il n'y a pas lieu de revenir sur l'amende prononcée pour sanctionner la consommation de stupéfiants de l'appelant.</w:t>
      </w:r>
    </w:p>
    <w:p>
      <w:r>
        <w:rPr>
          <w:b/>
        </w:rPr>
        <w:t>E. 4</w:t>
      </w:r>
    </w:p>
    <w:p>
      <w:r>
        <w:t>Au vu de la confirmation du verdict de culpabilité de brigandage retenu à l'encontre de l'appelant, il ne se justifie pas de revenir sur le tort moral alloué au plaignant, parfaitement adéquat au vu des souffrances, tant physiques que psychiques, manifestement supportées par ce dernier (art. 47 et 49 du Code des obligations [CO]). L'appelant n'a du reste contesté ce point qu'en tant qu'il sollicitait son acquittement et n'en a critiqué ni le principe, ni le montant.</w:t>
      </w:r>
    </w:p>
    <w:p>
      <w:r>
        <w:rPr>
          <w:b/>
        </w:rPr>
        <w:t>E. 5</w:t>
      </w:r>
    </w:p>
    <w:p>
      <w:r>
        <w:t>L'appelant, qui succombe entièrement, supportera les frais de la procédure envers l'État, comprenant un émolument d'arrêt de CHF 1'500.-. Il n'y a, au surplus, pas lieu de revoir la répartition des frais de première instance (art. 428 CPP et art. 14 al. 1 let. e du Règlement fixant le tarif des frais en matière pénale).</w:t>
      </w:r>
    </w:p>
    <w:p>
      <w:r>
        <w:rPr>
          <w:b/>
        </w:rPr>
        <w:t>E. 6.1</w:t>
      </w:r>
    </w:p>
    <w:p>
      <w:r>
        <w:t>La question de l'indemnisation doit être tranchée après celle des frais, la seconde préjugeant, dans cette mesure, de la première (arrêt du Tribunal fédéral 6B_262/2015 du 29 janvier 2016 consid. 1.2).</w:t>
      </w:r>
    </w:p>
    <w:p>
      <w:r>
        <w:rPr>
          <w:b/>
        </w:rPr>
        <w:t>E. 6.2</w:t>
      </w:r>
    </w:p>
    <w:p>
      <w:r>
        <w:t>Compte tenu de ce qui précède, il n'y a pas lieu de faire droit aux conclusions en indemnisation de l'appelant (art. 429 CPP ss a contrario ). 6.3.1.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La Cour de justice retient en principe un tarif horaire entre CHF 400.- et CHF 450.- pour un chef d'étude, de CHF 350.- pour les collaborateurs et de CHF 150.- pour les stagiaires. En cas d'assujettissement, l'équivalent de la TVA est versé en sus (arrêt du Tribunal fédéral 2C_725/2010 du 31 octobre 2011 consid. 3 et 2C_25/2008 du 18 juin 2008 consid. 3 ; AARP/415/2020 du 15 décembre 2020 consid. 7.3). 6.3.2. Le plaignant obtenant gain de cause en appel, au vu de la confirmation du verdict de culpabilité de l'appelant et de l'octroi d'une indemnité pour tort moral en sa faveur, le principe d'une indemnisation par ce dernier de ses frais d'avocat lui est acquis. En revanche, eu égard à la quotité de l'indemnité sollicitée, le décompte des opérations déposé apparaît globalement excessif. En particulier, le dossier n'a pas connu de développements pouvant justifier une activité consacrée à de la correspondance et des téléphones de l'ordre de 10h15 en l'espace de cinq mois (soit approximativement 1h10 en avril 2024, 2h00 en mai 2024, 1h00 en juin 2024, 1h00 en juillet 2024 et 5h05 en août 2024, déduction faite des autres postes de l'activité). Une durée de 5h00, au tarif de l'avocat-stagiaire (soit CHF 750.-), sera ainsi décomptée de ce type de prestations, une durée totale de 5h15 apparaissant davantage proportionnée et admissible pour couvrir une telle activité sur la période décomptée. En outre, le tarif horaire appliqué à l'avocat-stagiaire (initiales "W______" pour Me W______) de CHF 270.- (soit CHF 3'397.50 pour 12h35) doit être ramené à CHF 150.- (soit CHF 1'887.50 pour 12h35 d'activité – CHF 750.- pour les 5h00 déduites de la correspondance = CHF 1'137.50). En revanche, la durée des débats d'appel (1h40) doit être ajoutée à l'activité de l'avocat-stagiaire (soit CHF 250.-) En définitive, l'appelant doit être condamné à indemniser C______ pour ses frais d'avocat en appel à hauteur de CHF 4'688.20 (soit [CHF 5'979.92 d'honoraires – CHF 3'397.50] + CHF 1'137.50 + CHF 250.- = CHF 3'969.92 ; CHF 3'969.92 + CHF 298.99 de débours = CHF 4'268.91 ; CHF 4'268.91 + la TVA au taux de 8.1% [CHF 345.78] = CHF 4'614.69 ; CHF 4'614.69 + CHF 73.50 d'avance de frais = CHF 4'688.19).</w:t>
      </w:r>
    </w:p>
    <w:p>
      <w:r>
        <w:rPr>
          <w:b/>
        </w:rPr>
        <w:t>E. 7</w:t>
      </w:r>
    </w:p>
    <w:p>
      <w:r>
        <w:t>Considéré globalement, l'état de frais produit par le défenseur d'office de A______ satisfait les exigences légales et jurisprudentielles régissant l'assistance judiciaire gratuite en matière pénale. Il convient cependant de le compléter de la durée des débats d'appel (1h40) et du forfait vacation qui s'y rapporte, ceci au tarif du stagiaire, étant relevé que c'est ce dernier qui a principalement défendu le dossier devant la CPAR et que la complexité de la cause ne nécessitait pas la présence de deux défenseurs. Partant, la rémunération de M e B______ sera arrêtée à CHF 1'683.60, correspondant à 2h45 d'activité du collaborateur au tarif horaire de CHF 150.- (CHF 412.50) et à 8h40 d'activité du stagiaire au tarif horaire de CHF 110.- (CHF 953.35), plus la majoration forfaitaire de 10% (CHF 136.60) ‒ l'activité globale déployée excédant à présent 30h ‒, à un forfait vacation de CHF 55.- et à l'équivalent de la TVA au taux de 8.1% (CHF 126.15).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