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P/11473/2015 vom 17. März 2016</w:t>
      </w:r>
    </w:p>
    <w:p>
      <w:r>
        <w:t>GE Cour de justice, 2016-03-17, FR</w:t>
      </w:r>
    </w:p>
    <w:p>
      <w:r>
        <w:rPr>
          <w:b/>
        </w:rPr>
        <w:t xml:space="preserve">Quelle: </w:t>
      </w:r>
      <w:r>
        <w:t>https://mcp.opencaselaw.ch/entscheid/ge_gerichte_P_11473_2015</w:t>
      </w:r>
    </w:p>
    <w:p>
      <w:r>
        <w:t>FR: GE_GERICHTE P/11473/2015 du 17 mars 2016</w:t>
      </w:r>
    </w:p>
    <w:p>
      <w:r>
        <w:t>IT: GE_GERICHTE P/11473/2015 del 17 marzo 2016</w:t>
      </w:r>
    </w:p>
    <w:p>
      <w:pPr>
        <w:pStyle w:val="Heading2"/>
      </w:pPr>
      <w:r>
        <w:t>Regeste</w:t>
      </w:r>
    </w:p>
    <w:p>
      <w:r>
        <w:t>MANDAT DE PERQUISITION; PERQUISITION DOMICILIAIRE; PERQUISITION DE DOCUMENTS ET ENREGISTREMENTS; ADMINISTRATION DES PREUVES; PREUVE; IN DUBIO PRO DURIORE; PRÉSOMPTION D'INNOCENCE; DISPOSITIONS PÉNALES DE LA LSTUP; COMMERCE DE STUPÉFIANTS; ERREUR SUR LES FAITS(DROIT PÉNAL); ERREUR DE DROIT(DROIT PÉNAL); PRINCIPE DE LA BONNE FOI; PRONOSTIC; SURSIS PARTIEL À L'EXÉCUTION DE LA PEINE; RÉCIDIVE(INFRACTION) | CPP.141.2; CPP.139.1; CPP.241.1; CP.13; LStup.19.1; LStup.19.2.a; LEtr.115.1.a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2.1. L'appelant invoque que l'analyse de son téléphone portable doit être écartée du dossier pour ne pas avoir été administrée selon les règles applicables (art. 141 al. 2 et 246 ss CPP). Les autorités pénales mettent en œuvre tous les moyens de preuves licites qui, selon l'état des connaissances scientifiques et l'expérience, sont propres à établir la vérité (art. 139 al. 1 CPP). Les constatations directes faites sur les lieux, l'interception de données électroniques ou la prise de photographies constituent notamment des moyens de preuve, lesquels ne sont pas limités par un numerus clausus (L. MOREILLON / A. PAREIN-REYMOND, CPP, Code de procédure pénale , Bâle 2013, n. 7 ad art. 139 CPP). Les perquisitions, fouilles et examens font l'objet d'un mandat écrit (art. 241 al. 1 première phrase CPP). Le législateur fédéral a délibérément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Ces considérations, développées en lien avec les art. 141 et 147 CPP, sont également valables en ce qui concerne les preuves qui auraient été administrées en violation de l'art. 140 CPP. S'il devait être renvoyé en jugement, le justiciable pourra soulever une question préjudicielle aux débats au sujet des moyens de preuve qu'il tiendrait pour illégaux ; il lui sera loisible d'invoquer les griefs évoqués dans le cadre d'un appel et, en dernier ressort, auprès du Tribunal fédéral à l'appui d'un recours dirigé contre le jugement final, s'il devait avoir été condamné sur la base de preuves qu'il tient pour illégales (arrêt du Tribunal fédéral 1B_398/2012 du 17 juillet 2012 consid 2 ; ACPR/109/2014 du 26 février 2014 consid. 3.4). Toutefois, le principe de la bonne foi en procédure oblige celui qui constate un vice affectant le déroulement de celle-ci à le signaler aussitôt, sans attendre l'issue de la procédure (arrêt du Tribunal fédéral 6B_1066/2013 du 27 février 2014 consid. 3.2).</w:t>
      </w:r>
    </w:p>
    <w:p>
      <w:r>
        <w:rPr>
          <w:b/>
        </w:rPr>
        <w:t>E. 2.2</w:t>
      </w:r>
    </w:p>
    <w:p>
      <w:r>
        <w:t>En l'espèce, le principe de la bonne foi en procédure s'oppose à ce que l'appelant se plaigne, pour la première fois au stade de l'appel, de l'administration des moyens de preuve relatifs au SMS qu'il a reçu lors de son interpellation. Son grief est tardif. A titre superfétatoire, la CPAR relève que les éléments figurant au dossier ne consacrent aucune violation des règles du CPP. La police a effectué un contrôle manuel succinct des téléphones portables des prévenus lors de leur interpellation et constaté la présence du message "Bern to konofingen take to biglen", étant rappelé que les constatations faites sur les lieux constituent un moyen de preuve au sens de l'art. 139 CPP. A cette occasion, une photographie de l'écran de l'appareil de l'appelant, sur lequel figurait le SMS litigieux, a été prise puis produite lors des débats de première instance, ce qui constitue également un moyen de preuve que le juge peut apprécier. Enfin, par mandat écrit d'actes d'enquêtes du 23 juin 2015, soit neuf jours après les faits, le Ministère public a chargé la police, notamment, d'extraire les données se trouvant sur les téléphones portables des prévenus (pce C-80), dont le séquestre a été ordonné le 9 octobre 2015 (pce C-188). Le rapport de police du 5 août 2015 faisait état de cette opération et du SMS précité, conformément aux dispositions applicables à la perquisition de supports informatiques (art. 241 et 246 CPP). Pour toutes ces raisons, le SMS – soit en l'occurrence son contenu – reçu par l'appelant lors de son interpellation ne sera pas écarté de la procédure.</w:t>
      </w:r>
    </w:p>
    <w:p>
      <w:r>
        <w:rPr>
          <w:b/>
        </w:rPr>
        <w:t>E. 3.1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Se rend coupable d'infraction à l'art. 19 al. 1 LStup, celui qui, sans droit, entrepose, expédie, transporte, importe, exporte des stupéfiants ou les passe en transit (let. b), possède, détient ou acquiert des stupéfiants (let. d), ou encore prend des dispositions à ces fins (let. g). Le cas est grave notamment lorsque l'auteur sait ou ne peut ignorer que l'infraction porte sur une quantité de drogue qui peut mettre en danger la santé de nombreuses personnes (art. 19 ch. 2 let. a LStup). S'agissant de la cocaïne, le Tribunal fédéral retient le cas grave lorsque le trafic porte sur 18 grammes de drogue pure (ATF 122 IV 360 consid. 2a ; 138 IV 100 consid. 3.2).</w:t>
      </w:r>
    </w:p>
    <w:p>
      <w:r>
        <w:rPr>
          <w:b/>
        </w:rPr>
        <w:t>E. 3.3</w:t>
      </w:r>
    </w:p>
    <w:p>
      <w:r>
        <w:t>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119 IV 266 consid. 3a ; 118 IV 397 consid. 2c ; 106 IV 72 consid. 2b). La complicité implique que l'assistance prêtée à autrui en vue d'une infraction se limite à une contribution subalterne ne constituant pas elle-même une infraction sui generis . Tel est, par exemple, le cas de celui qui met à disposition un véhicule pour le transport de stupéfiants, qui aide à aménager une cachette dans une voiture (ATF 106 IV 72 consid. 2b).</w:t>
      </w:r>
    </w:p>
    <w:p>
      <w:r>
        <w:rPr>
          <w:b/>
        </w:rPr>
        <w:t>E. 3.4</w:t>
      </w:r>
    </w:p>
    <w:p>
      <w:r>
        <w:t>À teneur de l'art. 115 al. 1 let. a LEtr, sera puni d'une peine privative de liberté d'un an au plus ou d'une peine pécuniaire, quiconque contrevient aux dispositions sur l'entrée en Suisse prévues à l'art. 5 LEtr.</w:t>
      </w:r>
    </w:p>
    <w:p>
      <w:r>
        <w:rPr>
          <w:b/>
        </w:rPr>
        <w:t>E. 3.5</w:t>
      </w:r>
    </w:p>
    <w:p>
      <w:r>
        <w:t>.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La délimitation entre erreur sur les faits et erreur de droit ne dépend pas du fait que l'appréciation erronée concerne une question de droit ou des faits. Il s'agit de qualifier d'erreur sur les faits, et non d'erreur de droit, non seulement l'erreur sur les éléments descriptifs, mais également l'appréciation erronée des éléments normatifs, tels que l'appartenance à autrui d'un objet (ATF 129 IV 238 consid. 3.2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w:t>
      </w:r>
    </w:p>
    <w:p>
      <w:r>
        <w:rPr>
          <w:b/>
        </w:rPr>
        <w:t>E. 3.6</w:t>
      </w:r>
    </w:p>
    <w:p>
      <w:r>
        <w:t>En l'espèce, il est établi à teneur de la procédure que l'appelant et C______ ont tous deux voyagé de Madrid à Genève le 14 juin 2015, sur le même vol, qui plus est en étant assis sur la même rangée. Leur vol de retour était prévu avec le même parallélisme (jour, rang). Leurs billets ont été réservés à la même date, depuis le même ordinateur. Ils avaient tous deux reçu pour instruction de se rendre à Biglen, ce qui ne manque pas de surprendre s'agissant d'une commune de moins de 2'000 habitants, en passant par Konolfingen, commune dont la population est elle-même de l'ordre de 5'000 personnes. Enfin et surtout, les instructions des deux prévenus comportaient la même erreur d'orthographe ("Konofingen" au lieu de "Konolfingen"), alors qu'elles n'avaient pas été recueillies simultanément. Ce détail trahit le fait que les instructions émanaient de la même personne ou, à tout le moins, d'une même source, pour peu que ne suffise déjà la probabilité, extrêmement faible, que deux individus qui ne se connaissent pas, l'un roumain et l'autre nigérian, effectuent en même temps un voyage d'Espagne vers le village peu touristique de Biglen. Ces éléments constituent un faisceau d'indices permettant à la CPAR d'acquérir la conviction, au-delà de tout doute raisonnable, que le voyage de l'appelant avait pour unique but de surveiller le transport de drogue effectué par C______, sans qu'il soit pertinent de savoir si celui-ci savait qu'il était surveillé ou non. Ainsi, les mesures d'instruction supplémentaires sollicitées par l'appelant auraient été superflues et n'ont, à bon droit, pas été entreprises. À cela s'ajoute le comportement de l'appelant lors de son arrivée à Genève, tel que la police l'a constaté, en particulier l'abandon de la file d'attente au bureau de change E______ au moment où C______ a fini sa transaction. Est également troublant le fait que les comparses se soient rendus au même moment au guichet CFF, après avoir quitté le bureau de change, puis qu'ils y soient tous deux retournés une seconde fois et en soient ressortis, pratiquement ensemble, pour se rendre sur le quai de la voie 2, qui plus est près d'un quart d'heure avant le départ du train. Cela étant, ces éléments, pris à eux seuls, ne sauraient suffire pour retenir un verdict de culpabilité, la vision des enregistrements de vidéosurveillance ne permettant notamment pas d'établir si l'appelant a constamment gardé le contact visuel sur C______, comme le soutient le Ministère public. Il s'agit toutefois d'indices supplémentaires venant corroborer les éléments précités déjà probants. Les dénégations de l'appelant ne peuvent être tenues pour crédibles. Ses déclarations, quand elles n'étaient pas invraisemblables, ont fluctué, notamment devant le Tribunal correctionnel, lorsque l'appelant a soutenu que K______ devait le retrouver "à la gare de Berne", qu'il ne connaissait pourtant pas, puis "devant la sortie de la gare" puis enfin "à la sortie du train". Les explications fournies sur la raison de sa présence en Suisse ne convainquent pas, notamment en raison du faible montant d'EUR 300.- qu'il espérait recevoir et qui n'aurait pas permis de couvrir ses frais de logement et de nourriture pendant son séjour en Suisse. Ses déclarations à propos des motifs de l'appel reçu sur son téléphone portable après son interpellation sont contredites par la réception, de la part du même raccordement, du SMS fournissant les indications nécessaires pour son trajet vers Biglen. La mention de l'existence d'une personne qui devait voyager, selon I______, "dans la même direction que lui" vaut aveux déguisés, en ce sens qu'il est inconcevable qu'I______ envoie simultanément deux personnes de Madrid à Biglen pour des motifs complètement différents, soit l'une pour acheter une voiture et l'autre pour livrer un kilo de cocaïne, comme semble le soutenir l'appelant. Ainsi, c'est à bon droit que le Tribunal correctionnel a retenu que l'appelant avait pour rôle de surveiller le transport à destination de Biglen de la cocaïne ingurgitée par C______. Il savait nécessairement sur quelle quantité portait le transport, ou du moins qu'il s'agissait d'une quantité importante puisqu'elle nécessitait une telle surveillance. On conçoit en effet mal comment il aurait pu être mobilisé par son commanditaire pour surveiller une mule dans le cadre d'un transport de stupéfiants insignifiant ou dont il ne saurait rien. Ce faisant, il a participé à l'importation de la cocaïne, en tant que co-auteur, notamment en raison du rôle qu'il a assumé, hiérarchiquement supérieur à celui de C______. Par conséquent, le verdict de culpabilité du chef d'infraction grave (al. 2 let. a) à l'art. 19 al. 1 let. b et d LStup, rendu à l'encontre de l'appelant, sera confirmé.</w:t>
      </w:r>
    </w:p>
    <w:p>
      <w:r>
        <w:rPr>
          <w:b/>
        </w:rPr>
        <w:t>E. 3.7</w:t>
      </w:r>
    </w:p>
    <w:p>
      <w:r>
        <w:t>L'appelant a pénétré sur le territoire suisse le 14 juin 2015 alors qu'il faisait l'objet d'une interdiction d'entrée pour une durée indéterminée, valablement notifiée le 22 mai 2012. Ses explications sur une éventuelle confusion avec le délai d'épreuve du sursis octroyé le 6 septembre 2011, dans le cadre d'une autre procédure, notifiée distinctement, n'emporte pas conviction. Au demeurant, le fait qu'un contrôle douanier était probable et qu'il aurait été irréfléchi de venir par avion malgré l'interdiction de pénétrer en Suisse ne saurait le disculper, la finesse d'esprit des parties n'étant pas présumée. L'erreur sur les faits dont il se prévaut ne saurait donc être retenue et le verdict de culpabilité rendu à son encontre sera confirmé.</w:t>
      </w:r>
    </w:p>
    <w:p>
      <w:r>
        <w:rPr>
          <w:b/>
        </w:rPr>
        <w:t>E. 3.8</w:t>
      </w:r>
    </w:p>
    <w:p>
      <w:r>
        <w:t>Au vu de ce qui précède, les conclusions de l'appelant en restitution de ses téléphones portables sont sans objet.</w:t>
      </w:r>
    </w:p>
    <w:p>
      <w:r>
        <w:rPr>
          <w:b/>
        </w:rPr>
        <w:t>E. 4</w:t>
      </w:r>
    </w:p>
    <w:p>
      <w:r>
        <w:t>4.1.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 6B_567/2012 du 18 décembre 2012 consid. 3.2 ; 6B_793/2011 du 26 janvier 2012 consid. 4.1).</w:t>
      </w:r>
    </w:p>
    <w:p>
      <w:r>
        <w:rPr>
          <w:b/>
        </w:rPr>
        <w:t>E. 4.2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4.3</w:t>
      </w:r>
    </w:p>
    <w:p>
      <w:r>
        <w:t>Dans l'exercice de son pouvoir d'appréciation, le juge doit respecter, en particulier, le principe d'égalité de traitement (art. 8 al. 1 Cst.).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co-accusés à des peines identiques, il doit s'assurer que cette égalité soit justifiée par une équivalence globale des éléments pertinents pour la fixation de la peine (arrêts du Tribunal fédéral 6B_259/2013 du 11 juin 2013 consid. 1.1 et 6B_569/2008 du 24 mars 2009 consid. 1.2).</w:t>
      </w:r>
    </w:p>
    <w:p>
      <w:r>
        <w:rPr>
          <w:b/>
        </w:rPr>
        <w:t>E. 4.4</w:t>
      </w:r>
    </w:p>
    <w:p>
      <w:r>
        <w:t>Lorsque la fixation de la peine (résultant de l'appréciation de toutes les circonstances essentielles, dont l'effet de la sanction et de son exécution sur l'avenir de l'auteur) conduit au prononcé d'une peine privative de liberté qui se situe dans les limites légales du sursis ou du sursis partiel,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Dans tous les cas, le Juge doit expressément motiver sa décision sur ce point (ATF 134 IV 17 consid. 3.5).</w:t>
      </w:r>
    </w:p>
    <w:p>
      <w:r>
        <w:rPr>
          <w:b/>
        </w:rPr>
        <w:t>E. 4.5</w:t>
      </w:r>
    </w:p>
    <w:p>
      <w:r>
        <w:t>En l'espèce, la faute de l'appelant est lourde. Il a pris part à un trafic de drogue à ramifications internationales portant sur une quantité importante de cocaïne, bien supérieure à la limite du cas grave de l'art. 19 LStup, ce qu'il ne pouvait ignorer. Il a récidivé alors qu'il avait déjà été condamné pour avoir transporté de la drogue en tant que mule, ce qui dénote un ancrage dans le milieu du trafic de stupéfiants, au mépris de la législation, qui plus est avec une place supérieure dans la hiérarchie. Son mobile, à savoir l'appât du gain facile, est égoïste, ce d'autant qu'il n'a pris aucun risque pour sa propre vie, à l'inverse de C______, qui transportait la drogue dans son organisme. Son rôle dans le trafic n'est pas négligeable, puisqu'il avait pour mission de surveiller une mule dont le rôle est plus limité, fût-il plus dangereux. Sa situation personnelle n'explique pas ses actes, puisqu'à teneur de ses propres déclarations, il dispose d'un revenu régulier en Espagne, même faible. Sa collaboration à la procédure a été très mauvaise, l'appelant s'étant borné à contester en bloc les infractions reprochées, y compris l'entrée illégale selon la LEtr, en faisant à cet égard valoir une argumentation dépourvue de toute crédibilité. Il y a également lieu de tenir compte du concours d'infraction, dans une très faible mesure toutefois au vu de la moindre gravité, comparativement, de l'infraction à la LEtr. Au vu de ce qui précède, la peine de trois ans et six mois prononcée par les premiers juges paraît adéquate. Elle respecte par ailleurs le principe d'égalité de traitement, en comparaison de la peine de 30 mois infligée à C______. En effet, celui-ci a pris davantage de risques pour sa santé et assumé un rôle inférieur à celui de l'appelant. Sa situation personnelle explique davantage son comportement, puisqu'il invoque s'être trouvé dans une grande détresse financière. Enfin, sa collaboration à l'enquête peut être qualifiée de bonne, à l'inverse de celle de l'appelant. Au demeurant, contrairement à ce qu'il plaide, le prononcé d'une peine compatible avec l'octroi du sursis partiel n'entre pas en ligne de compte en raison du pronostic quant au comportement futur de l'appelant, qui est manifestement défavorable. Il a récidivé, à nouveau dans le cadre d'un trafic de stupéfiants, assumant la seconde fois un rôle plus important que la première, moins d'un an après l'échéance du délai d'épreuve de sa précédente condamnation. Sa récidive est d'autant plus incompréhensible qu'il avait déjà été incarcéré pendant 12 mois, sans que cela ne l'empêche de commettre une nouvelle infraction, de plus grande envergure. Pour toutes ces raisons, l'appel sera rejeté et le jugement de première instance confirmé.</w:t>
      </w:r>
    </w:p>
    <w:p>
      <w:r>
        <w:rPr>
          <w:b/>
        </w:rPr>
        <w:t>E. 4.6</w:t>
      </w:r>
    </w:p>
    <w:p>
      <w:r>
        <w:t>Au vu du résultat de la procédure, la question de l'indemnisation de la détention injustifiée, plaidée par l'appelant, est sans objet.</w:t>
      </w:r>
    </w:p>
    <w:p>
      <w:r>
        <w:rPr>
          <w:b/>
        </w:rPr>
        <w:t>E. 5</w:t>
      </w:r>
    </w:p>
    <w:p>
      <w:r>
        <w:t>Le maintien de l'appelant en détention pour des motifs de sûreté est ordonné par décision séparée.</w:t>
      </w:r>
    </w:p>
    <w:p>
      <w:r>
        <w:rPr>
          <w:b/>
        </w:rPr>
        <w:t>E. 6</w:t>
      </w:r>
    </w:p>
    <w:p>
      <w:r>
        <w:t>L'appelant, qui succombe, supportera les frais de la procédure envers l'État, qui comprennent un émolument de jugement de CHF 3'000.- (art. 428 al. 1 CPP et art. 14 al. 1 let. e du Règlement fixant le tarif des frais en matière pénale [RTFMP ; rs/GE E 4 10.03]).</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12 novembre 2015, date de l'annonce d'appel.</w:t>
      </w:r>
    </w:p>
    <w:p>
      <w:r>
        <w:rPr>
          <w:b/>
        </w:rPr>
        <w:t>E. 7.2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et AARP/300/2015 du 16 juillet 2015).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w:t>
      </w:r>
    </w:p>
    <w:p>
      <w:r>
        <w:rPr>
          <w:b/>
        </w:rPr>
        <w:t>E. 7.3</w:t>
      </w:r>
    </w:p>
    <w:p>
      <w:r>
        <w:t>En l'espèce, M e B______ a été désigné défenseur d'office d'A______ par ordonnance de la CPAR du 10 décembre 2015, succédant au précédent conseil de l'appelant, qui exerçait dans la même Etude. À la lecture des postes de l'état de frais produit, pour 50 heures d'activité s'agissant de la seule procédure d'appel, il apparaît que l'activité suivante n'était pas nécessaire : -          180 minutes d'activité d'avocat-stagiaire pour les entretiens avec l'appelant, en sus du temps consacré par M e B______ pour les mêmes entretiens, la présence de deux avocats n'étant pas nécessaire pour s'entretenir avec un client ;![endif]&gt;![if&gt; -          600 minutes, soit 120 minutes d'activité de collaborateur et 480 d'avocat-stagiaire, correspondant à de nombreuses recherches juridiques sur la procédure, la fixation de la peine, l'exécution anticipée de la peine, l'étude de l'opportunité de former appel, etc., la formation continue de l'avocat ou de son stagiaire et la prise de connaissance d'un dossier au stade de l'appel en raison d'un changement de défenseur, qui plus est dans la même Etude, n'étant pas prises en charge par l'assistance juridique, étant relevé que la préparation de l'audience d'appel, pour 11 heures et 30 minutes d'activité, est admise et paraît largement suffisante au vu de la difficulté, toute relative, de la cause ;![endif]&gt;![if&gt; -          780 minutes consacrées par Me B______ et son stagiaire à la rédaction de la déclaration d'appel, qui n'a pas à être motivée et qui a d'ailleurs été pour partie écartée du dossier ( cf. supra let. C.b).![endif]&gt;![if&gt; Au surplus, l'activité exercée dans le cadre de la présente procédure est en adéquation avec la nature, l'importance et la difficulté de la cause. Par conséquent, son état de frais est admis, sous réserve des modifications qui précèdent, à concurrence de 1'290 minutes (21 heures et 30 minutes), soit 690 minutes d'activité de collaborateur et 600 minutes d'activité d'avocat-stagiaire. Il convient d'y ajouter la durée de l'audience d'appel, à raison de 150 minutes d'activité de collaborateur (la difficulté de la cause ne justifiant pas la présence de deux avocats), déplacements compris, pour un total intermédiaire de CHF 2'400.-, auquel il faut ajouter le forfait pour l'activité diverse à 10%, soit CHF 240.-, compte tenu de l'activité déployée et indemnisée en première instance pour plus de 30 heures. Ainsi, l'indemnisation requise sera accordée à hauteur de CHF 2'640.-, TVA non comprise au vu du statut de collaborateur de M e B______, non assujetti à celle-ci.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