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P/11452/2017 vom 9. Februar 2018</w:t>
      </w:r>
    </w:p>
    <w:p>
      <w:r>
        <w:t>GE Cour de justice, 2018-02-09, FR</w:t>
      </w:r>
    </w:p>
    <w:p>
      <w:r>
        <w:rPr>
          <w:b/>
        </w:rPr>
        <w:t xml:space="preserve">Quelle: </w:t>
      </w:r>
      <w:r>
        <w:t>https://mcp.opencaselaw.ch/entscheid/ge_gerichte_P_11452_2017</w:t>
      </w:r>
    </w:p>
    <w:p>
      <w:r>
        <w:t>FR: GE_GERICHTE P/11452/2017 du 9 février 2018</w:t>
      </w:r>
    </w:p>
    <w:p>
      <w:r>
        <w:t>IT: GE_GERICHTE P/11452/2017 del 9 febbraio 2018</w:t>
      </w:r>
    </w:p>
    <w:p>
      <w:pPr>
        <w:pStyle w:val="Heading2"/>
      </w:pPr>
      <w:r>
        <w:t>Regeste</w:t>
      </w:r>
    </w:p>
    <w:p>
      <w:r>
        <w:t>IN DUBIO PRO REO ; VIOLENCE CONTRE LES AUTORITÉS ; LÉSION CORPORELLE SIMPLE ; DÉTENTION(INCARCÉRATION) ; FIXATION DE LA PEINE ; MESURE DISCIPLINAIRE ; ANTÉCÉDENT ; DROIT DE GARDER LE SILENCE ; CONCOURS D'INFRACTIONS ; CONCOURS RÉEL ; DÉPENS ; FRAIS DE VOYAGE | CP.123.al1; CP.285.al1; CP.47; CP.49.al1; CP.49.al2; CPP.135.al1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285 CP punit notamment celui qui, en usant de violence ou de menace, empêche une autorité, un membre d'une autorité ou un fonctionnaire de faire un acte entrant dans ses fonctions, les contraint à faire un tel acte ou s'est livré à des voies de fait sur eux pendant qu'ils y procédaient.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w:t>
      </w:r>
    </w:p>
    <w:p>
      <w:r>
        <w:rPr>
          <w:b/>
        </w:rPr>
        <w:t>E. 2.3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2.4</w:t>
      </w:r>
    </w:p>
    <w:p>
      <w:r>
        <w:t>L'appelant conteste avoir fait usage de violence vis-à-vis du gardien intervenu le 7 mai 2017 au matin dans sa cellule pour procéder à sa fouille. Il reconnaît avoir été contrarié par la demande de l'intimé, ayant même dit à la doctoresse du service pénitentiaire qu'il avait refusé cet acte. Le gardien se serait immédiatement jeté sur lui pour le ceinturer et le mettre à terre tout en faisant appel à ses collègues, venus en renfort à une vingtaine, et même une quarantaine selon ce qu'il a relaté le lendemain à ce même médecin. Il prétend pour la suite avoir lui-même été victime des agissements du gardien puis de ses collègues intervenus en renfort. L’intimé se serait causé seul les lésions constatées en se précipitant sur lui, l'appelant étant allé jusqu'à dire que contrairement à lui, le gardien n'avait en fait pas été blessé. En audience de confrontation, il a admis que quelque chose était tombé au moment de descendre de son lit, répondant au gardien qu'il ignorait de quoi il s'agissait. Il a avancé la présence d'un deuxième gardien dans la cellule au moment des faits, ce qui n'a nullement été corroboré durant l'enquête, son conseil plaidant au contraire en appel que tous deux étaient seuls dans la cellule. Il a encore contesté avoir jamais frappé qui que ce soit, bien que confronté à ses deux condamnations du mois d'août 2012 pour des violences perpétrées à l'encontre des forces de l'ordre. Enfin, il a trouvé, en première instance seulement, pour seule raison au gardien pour dénoncer des faits inventés, une volonté d'obtenir de l'argent. Autant dire que ces déclarations manquent de crédibilité à bien des égards. Ainsi, aucun crédit ne peut être accordé aux dénégations de l'appelant qui n'a pas hésité à exagérer vis-à-vis du service médical le nombre de gardiens intervenus en renfort, étant à cet égard relevé que les lésions constatées sur ses membres inférieurs sont compatibles avec sa mise au sol et sa maîtrise alors qu'il se débattait violemment pour échapper à la contrainte du premier gardien intervenu en cellule, puis de ses deux collègues. L'appelant a d'ailleurs admis que celle constatée derrière son talon avait été causée par la chaussure de l'un d'eux, intervenu dans un second temps, soit alors que l'usage de la force avait été rendu nécessaire par son comportement initial. Bien que reçu par un médecin le lendemain des faits selon le protocole en place, il n'a pas déposé plainte contre le gardien, élément supplémentaire qui permet de retenir qu'il savait avoir dépassé les limites de l'admissible la veille. Le gardien a donné une version constante des faits, à savoir son entrée dans la cellule avec demande au détenu d'en sortir pour la fouille, la réponse de ce dernier " dégage de ma cellule, laisse-moi m'habiller …", soit un clair refus d'obtempérer. L'intimé a ensuite perçu un bruit métallique et a eu l'impression que le détenu cachait un objet sous ses vêtements. Il s'en est approché, lui a demandé ce qu'il cachait et a reçu un coup de coude au visage. Il a sur ce activé l'alarme pour demander du renfort tout en maîtrisant l'appelant au sol, lequel se débattait. L'appelant a attesté par constat médical et photos les lésions subies, à la lèvre supérieure, consécutivement au coup de coude, ainsi qu'au coude et à la main droits, soit des dermabrasions superficielles, dont celle à la main saignait légèrement, causées par le détenu lorsqu'il se débattait. Enfin, l'on ne saisit pas pour quelle raison l'intimé aurait actionné l'alarme, si ce n'est en raison de son comportement insultant et violent alors qu'il se trouvait encore dans sa cellule. Il en résulte que les éléments au dossier constituent un faisceau d’indices suffisamment fort pour qu’il soit retenu que les faits dénoncés par l'intimé se sont bien déroulés comme repris dans l'acte d'accusation. Ces faits correspondent bien à la qualification juridique de violence ou menace contre les autorités et les fonctionnaires. S'agissant de qualifier les lésions causées à l'intimé, les dermabrasions constatées à son coude et au doigt entrent encore dans la définition de voies de fait telle que consacrée à l'art. 258 CP, lesquelles doivent revêtir une certaine intensité à teneur de la jurisprudence afférente à cette disposition. En revanche, le coup de coude donné au visage du gardien va au-delà. En effet, comme retenu par le Tribunal fédéral, un tel coup est clairement assimilable à un coup de poing donné au visage avec une violence brutale propre à provoquer d'importantes meurtrissures, voire une fracture des dents et du nez. S'il en est en l'espèce résulté uniquement une boursouflure et rougeur de la lèvre supérieures, et des douleurs dentaires heureusement sans conséquence, il n'en demeure pas moins que ledit coup était de nature et donné pour causer des lésions plus importantes de sorte que des lésions corporelles doivent être retenues en sus, qualifiées de peu de gravité par le premier juge, ce qui sera confirmé. L’appel du prévenu doit partant être rejeté et le verdict de culpabilité des chefs de violence ou menace contre les autorités et les fonctionnaires et de lésions corporelles de peu de gravité confirmé.</w:t>
      </w:r>
    </w:p>
    <w:p>
      <w:r>
        <w:rPr>
          <w:b/>
        </w:rPr>
        <w:t>E. 3.1</w:t>
      </w:r>
    </w:p>
    <w:p>
      <w:r>
        <w:t>Les infractions de violence ou menace contre les autorités et les fonctionnaires et de lésions corporelles simples sont punies d'une peine privative de liberté de trois ans au plus ou d'une peine pécuniaire, une atténuation de la peine étant possible dans les cas de peu de gravité pour la seconde de ces infractions (art. 123 ch.1 al. 2 et 48 a CP).</w:t>
      </w:r>
    </w:p>
    <w:p>
      <w:r>
        <w:rPr>
          <w:b/>
        </w:rPr>
        <w:t>E. 3.2</w:t>
      </w:r>
    </w:p>
    <w:p>
      <w:r>
        <w:t>La question de la double sanction, disciplinaire et pénale, pour un même auteur et état de fait similaire fait l'objet d'une jurisprudence bien établie (notamment l'arrêt du Tribunal fédéral 1C_191/2016 du 5 juillet 2016 en matière de législation routière). Il en résulte que lorsque le droit instaure une double procédure, pénale et administrative, le juge pénal se prononce sur les sanctions pénales, tandis que les autorités administratives compétentes décident des mesures administratives. S'agissant d'éventuelles violations du principe ne bis in idem , le Tribunal fédéral a jugé que le système de la double procédure pénale et administrative était conforme à l'interprétation de l'art. 4 ch. 1 du Protocole additionnel n° 7 à la CEDH, telle qu'elle ressortait de l'arrêt rendu le 10 février 2009 par la CourEDH dans la cause Zolotoukhine contre Russie, même si la décision d'annulation du permis de conduire s'apparente à une sanction pénale (ATF 137 I 363 consid. 2.3.3 p. 368). Cette position, confirmée dans plusieurs arrêts ultérieurs (cf. en dernier lieu, arrêts 1C_325/2015 du 15 mars 2016 consid. 4.2 et 1C_32/2015 du 18 juin 2015 consid. 5.2), est confortée par la jurisprudence européenne récente (arrêt de la CEDH Boman contre Finlande du 17 février 2015, § 43, p. 12 ; voir également FANTI / MIZEL, Ne bis in idem : exit Zolotoukhine et vive Boman !, PJA 2015 p. 765).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Ces principes valent aussi pour le choix entre plusieurs sanctions possibles, et non seulement pour la détermination de la durée de celle qui est prononcée (arrêt 6B_611/2014 du 9 mars 2015 consid. 4.2). 3.3.2.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3.3.3.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3.3.4.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3.3.5.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3.4</w:t>
      </w:r>
    </w:p>
    <w:p>
      <w:r>
        <w:t>En l'espèce, la faute de l'appelant n'est pas anodine. Il a fait preuve de violence et de mépris à l'égard d'un agent de détention, par simple esprit de contrariété et une colère mal maitrisée, n'hésitant pas à lui asséner un coup de coude au visage et à se débattre alors que le gardien attendait légitimement que l'appelant se soumette à une fouille, l'obligeant à sécuriser la situation en l'amenant au sol et en appelant ses collègues en renfort. Sa collaboration à la procédure n'a pas été bonne. Il a contesté les faits et a varié dans ses déclarations, n'hésitant pas à rejeter la responsabilité de ses actes sur le gardien, puis ses collègues, qui ne faisaient qu'accomplir leur travail. De manière générale, la situation personnelle de l'appelant n'est pas un facteur à décharge. Son incarcération n'excuse en rien les infractions de violence ou menace contre les autorités et les fonctionnaires. Il y a concours d'infractions au sens de l'art. 49 al. 1 CP s'agissant des infractions aux art. 285 et 123 ch. 1 al. 2 CP. La circonstance atténuante découlant de l'art. 123 ch. 1 al. 2 CP au sens de l'art. 48 a CP, potestative, doit être examinée. Au vu de la violence du coup de coude donné volontairement au visage, soit une partie très sensible du corps et dont la conséquence peut être notamment le bris du nez ou des dents, d'un gardien qui ne faisait que remplir sa mission, et partant de la gravité de la faute de l'appelant, la CPAR, à l'instar du premier juge, ne fera pas usage de cette faculté d'atténuation de la peine. Aucune autre circonstance atténuante n'est réalisée ni d'ailleurs plaidée. L'appelant a 22 antécédents, dont deux spécifiques en août 2012. Il a ainsi démontré jusqu'ici une incapacité presque complète à tenir compte de ses précédentes condamnations. En fonction de ces différents éléments, la peine privative de liberté de 60 jours fixée par le premier juge consacre une application correcte des critères fixés à l'art. 47 CP. Elle ne tient néanmoins pas compte du fait qu'elle est complémentaire à celle prononcée le 14 juin 2017 par le Ministère public de sorte qu'elle sera ramenée à 50 jours. Cette peine privative de liberté ne sera pas assortie du sursis, ce que le prévenu ne plaide pas, n'en remplissant manifestement plus les conditions eu égard en particulier à ses très nombreux antécédents et aux circonstances particulièrement défavorables. L'appelant n'a pas allégué ni a fortiori démontré avoir subi des atteintes particulières dans le cadre de son placement en cellule forte. On ne peut dès lors retenir qu'il aurait été suffisamment puni, sans compter que son incarcération dans une autre procédure n'était que la conséquence de son seul comportement. La double sanction, administrative et pénale est partant pleinement justifiée dans le cas d'espèce.</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4.2</w:t>
      </w:r>
    </w:p>
    <w:p>
      <w:r>
        <w:t>L'appelant, qui succombe pour essentielle partie en appel, supportera les 7/8 èmes des frais de la procédure envers l'Etat, comprenant un émolument de CHF 2'000.-, le solde étant laissé à charge de l'Etat (art. 428 CPP).</w:t>
      </w:r>
    </w:p>
    <w:p>
      <w:r>
        <w:rPr>
          <w:b/>
        </w:rPr>
        <w:t>E. 4.3</w:t>
      </w:r>
    </w:p>
    <w:p>
      <w:r>
        <w:t>Dans la mesure où il voit sa peine réduite en appel pour un motif qu'il n'a pas plaidé, il ne sera pas revenu sur les frais mis à sa charge en première instance.</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125.- pour le collaborateur (let. b), débours de l'étude inclus ( cf. décision de la Cour des plaintes du Tribunal pénal fédéral BB.2013.127 du 4 décembre 2013 consid. 3/4.2-4.4)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5.2.3.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5.3.1. En l'occurrence, considéré dans sa globalité, l'état de frais déposé par M e B______, pour l'activité déployée par sa collaboratrice, est conforme aux principes susmentionnés de sorte, qu'à l'exception de la durée de l'audience, ramenée à 10 minutes, l'indemnité requise sera allouée. 5.3.2. En conclusion, elle sera arrêtée à CHF 469.80 correspondant à 2h40 d'activité au tarif de CHF 125.-/heure (CHF 333.35), plus la majoration forfaitaire de 20% (CHF 66.65), CHF 35.- de frais de déplacement et la TVA à 8% (CHF 34.80), en application des directives transitoires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