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P/11443/2017 vom 9. November 2017</w:t>
      </w:r>
    </w:p>
    <w:p>
      <w:r>
        <w:t>GE Cour de justice, 2017-11-09, FR</w:t>
      </w:r>
    </w:p>
    <w:p>
      <w:r>
        <w:rPr>
          <w:b/>
        </w:rPr>
        <w:t xml:space="preserve">Quelle: </w:t>
      </w:r>
      <w:r>
        <w:t>https://mcp.opencaselaw.ch/entscheid/ge_gerichte_P_11443_2017</w:t>
      </w:r>
    </w:p>
    <w:p>
      <w:r>
        <w:t>FR: GE_GERICHTE P/11443/2017 du 9 novembre 2017</w:t>
      </w:r>
    </w:p>
    <w:p>
      <w:r>
        <w:t>IT: GE_GERICHTE P/11443/2017 del 9 novembre 2017</w:t>
      </w:r>
    </w:p>
    <w:p>
      <w:pPr>
        <w:pStyle w:val="Heading2"/>
      </w:pPr>
      <w:r>
        <w:t>Regeste</w:t>
      </w:r>
    </w:p>
    <w:p>
      <w:r>
        <w:t>VOL(DROIT PÉNAL) ; AFFILIATION À UNE BANDE ; ENTRÉE ILLÉGALE | CP.139 CP</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Selon la jurisprudence, on parle de bande lorsque deux ou plusieurs auteurs manifestent expressément ou par des actes concluants la volonté de s'associer en vue de commettre un certain nombre d'infractions, même si ces derniers n'ont pas nécessairement de plan précis, et que les infractions futures ne sont pas encore déterminées. Le critère prépondérant de la circonstance aggravante est donc celui d'un certain degré d'organisation. Il faut, pour parler de bande, qu'il y ait une certaine structure, se manifestant par l'intensité de la collaboration dont la préparation des infractions et leur réalisation, le partage des rôles et du travail, le sort des objets volés, etc., de sorte que l'on puisse parler d'une équipe relativement soudée et stable, même si celle-ci n'a pas nécessairement vocation de s'inscrire dans la durée (A. MACALUSO / L. MOREILLON / N. QUELOZ (éds), Commentaire romand : Code pénal II, Bâle 2017, no 77 ad art. 139 ; M. DUPUIS / L. MOREILLON / C. PIGUET / S. BERGER / M. MAZOU / V. RODIGARI (éds), Code pénal - Petit commentaire , 2 e éd., Bâle 2017, no 25 et 26 ad art. 139). En l'occurrence, il résulte des éléments du dossier et des déclarations de l'appelant, que celui-ci et son comparse sont venus à Genève dans l'intention d'y commettre des vols, ensemble. Ils étaient convenus que lui-même agirait, alors qu'E______ ferait le guet, et qu'ils se partageraient le butin. Le degré d'organisation requis par la jurisprudence est ainsi atteint. Certes, l'appelant est revenu sur ses précédents aveux lors de l'audience d'appel, prétendant qu'il ne savait pas, lorsqu'il avait quitté Annemasse pour venir à Genève, que le but du déplacement était de voler, mais cette version, tardive, ne saurait être suivie, l'intéressé ayant précédemment affirmé à deux reprises qu'E______ n'avait eu de cesse de le convaincre d'agir durant toute une soirée, voire plusieurs jours. Il résulte d'ailleurs des images à disposition que les deux compères se sont efficacement coordonnés lors des deux vols achevés, chacun sachant d'emblée ce qu'il avait à faire et/ou tous deux se comprenant sans parler, et il importe peu que lors de la troisième occurrence, le modus initialement décidé a pu se modifier, sans doute à la faveur de l'occasion qui se présentait et qu'il fallait saisir, la présence d'un véhicule non verrouillé, détectée par E______, n'étant pas planifiée. Pour autant, sans hésitation, les deux hommes ont improvisé le passage à l'acte, ce qui est significatif de leur détermination de commettre des vols, et de le faire ensemble.</w:t>
      </w:r>
    </w:p>
    <w:p>
      <w:r>
        <w:rPr>
          <w:b/>
        </w:rPr>
        <w:t>E. 3</w:t>
      </w:r>
    </w:p>
    <w:p>
      <w:r>
        <w:t>A juste titre, l'appelant ne s'oppose pas au principe de son expulsion. Vu le verdict de culpabilité, la mesure à prononcer est nécessairement (art. 66a al. 1 let. c CP) celle dite obligatoire, d'une durée minimale de cinq ans.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4.1.2. On voit mal en l'occurrence comment la sanction pourrait correspondre à la détention préventive subie jusqu'à présent, soit 164 jours, étant rappelé que la peine plancher prévue par l'art. 139 ch. 3 CP est de six mois, et que cette peine doit être augmentée, pour tenir compte du concours, y compris avec la violation de la LEtr. D'ailleurs, l'appelant n'a développé aucun argument à l'appui de sa conclusion subsidiaire. De fait, sa faute est sérieuse. Il est entré en Suisse sans autorisation, commettant ainsi un premier délit, dans le but de commettre des vols en bande, sévissant à trois reprises. Certes, la dernière entreprise s'est avérée être celle de trop, et a échoué, mais ce fût exclusivement du fait que l'intéressé et son comparse ont été surpris, et non en raison d'un quelconque désistement. L'intention des deux hommes était donc ferme et l'appelant en particulier a fait preuve de sang-froid, pour ne pas dire toupet, son manège dans le cybercafé ou sur la terrasse du restaurant, tel qu'immortalisé par les images de vidéosurveillance, étant risqué. Cela rend encore moins plausibles ses protestations selon lesquelles il aurait agi sur l'insistance d'E______, étant rappelé qu'il n'était pas novice en la matière, vu son récent antécédent. La période pénale est en revanche brève. Le mobile était nécessairement celui, égoïste, de l'appât du gain, au détriment de droit à la propriété des lésés et de l'intérêt collectif présidant à l'adoption de la législation sur l'entrée et le séjour des étrangers. La participation de l'appelant à l'instruction a été des plus médiocres, celui-ci niant les faits nonobstant les éléments à charge, pour ensuite s'employer à minimiser son implication et enfin se livrer à un nouveau revirement en appel afin de soutenir la thèse du passage à l'acte improvisé. Dans de telles conditions, les excuses présentées paraissent purement circonstancielles et n'augurent nullement d'une prise de conscience. A le suivre, l'appelant bénéficiait d'une situation personnelle relativement favorable, puisqu'il avait un logement ainsi qu'un travail, fourni par un parent, et avait des raisons d'espérer une régularisation de son statut en France. Ces circonstances rendent d'autant plus injustifié son comportement. A cela s'ajoute la très récente condamnation, pour une précédente tentative de vol, condamnation dont l'intéressé n'a manifestement tiré aucune leçon. En conclusion, au regard de l'ensemble de ces éléments, une peine privative de liberté d'une durée de huit mois est adéquate.</w:t>
      </w:r>
    </w:p>
    <w:p>
      <w:r>
        <w:rPr>
          <w:b/>
        </w:rPr>
        <w:t>E. 4.2</w:t>
      </w:r>
    </w:p>
    <w:p>
      <w:r>
        <w:t>A juste titre l'appelant ne plaide pas le sursis. Les éléments qui précèdent, tout particulièrement la récidive à si brève échéance, font en effet que le pronostic est clairement défavorable.</w:t>
      </w:r>
    </w:p>
    <w:p>
      <w:r>
        <w:rPr>
          <w:b/>
        </w:rPr>
        <w:t>E. 4.3</w:t>
      </w:r>
    </w:p>
    <w:p>
      <w:r>
        <w:t>L'appel est donc intégralement rejeté.</w:t>
      </w:r>
    </w:p>
    <w:p>
      <w:r>
        <w:rPr>
          <w:b/>
        </w:rPr>
        <w:t>E. 5</w:t>
      </w:r>
    </w:p>
    <w:p>
      <w:r>
        <w:t>L'appelant, qui succombe, supportera les frais de la procédure envers l'Etat (art. 428 CPP), lesquels comprendront un émolument d'arrêt de CHF 1'200.- (art. 14 let. e du règlement fixant le tarif des frais en matière pénale du 22 décembre 2010 [RTFMP - E 4 10.03]).</w:t>
      </w:r>
    </w:p>
    <w:p>
      <w:r>
        <w:rPr>
          <w:b/>
        </w:rPr>
        <w:t>E. 6</w:t>
      </w:r>
    </w:p>
    <w:p>
      <w:r>
        <w:t>L'état de frais produit par l'avocate d'office de l'appelant répond globalement aux critères fixés par la loi et la jurisprudence en matière d'assistance juridique, de sorte qu'il n'est pas nécessaire d'en examiner les divers postes. Une rémunération de CHF 750.- (arrondi) sera par conséquent allouée, pour quatre heures et trente minutes (arrondi) d'activité, au taux horaires réservé aux collaborateurs, plus le forfait de 20% couvrant les diligences diverses et CHF 70.- (2 x CHF 35.-) pour les deux déplacements à l'audience, vu la relativement longue suspension.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