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P/11428/2019 vom 26. Oktober 2021</w:t>
      </w:r>
    </w:p>
    <w:p>
      <w:r>
        <w:t>GE Cour de justice, 2021-10-26, FR</w:t>
      </w:r>
    </w:p>
    <w:p>
      <w:r>
        <w:rPr>
          <w:b/>
        </w:rPr>
        <w:t xml:space="preserve">Quelle: </w:t>
      </w:r>
      <w:r>
        <w:t>https://mcp.opencaselaw.ch/entscheid/ge_gerichte_P_11428_2019</w:t>
      </w:r>
    </w:p>
    <w:p>
      <w:r>
        <w:t>FR: GE_GERICHTE P/11428/2019 du 26 octobre 2021</w:t>
      </w:r>
    </w:p>
    <w:p>
      <w:r>
        <w:t>IT: GE_GERICHTE P/11428/2019 del 26 ottobre 2021</w:t>
      </w:r>
    </w:p>
    <w:p>
      <w:pPr>
        <w:pStyle w:val="Heading2"/>
      </w:pPr>
      <w:r>
        <w:t>Regeste</w:t>
      </w:r>
    </w:p>
    <w:p>
      <w:r>
        <w:t>ORDONNANCE DE CLASSEMENT;QUALITÉ POUR AGIR ET RECOURIR;INTÉRÊT JURIDIQUEMENT PROTÉGÉ;PLAINTE PÉNALE;VIOLENCE DOMESTIQUE;CONTRAINTE(DROIT PÉNAL);VIOLATION DU DEVOIR D'ASSISTANCE OU D'ÉDUCATION;VOIES DE FAIT | CPP.319; CPP.382; CP.219; CP.181; CP.123; CP.126; CP.31; CPP.116</w:t>
      </w:r>
    </w:p>
    <w:p>
      <w:pPr>
        <w:pStyle w:val="Heading2"/>
      </w:pPr>
      <w:r>
        <w:t>Erwägungen</w:t>
      </w:r>
    </w:p>
    <w:p>
      <w:r>
        <w:rPr>
          <w:b/>
        </w:rPr>
        <w:t>E. 1</w:t>
      </w:r>
    </w:p>
    <w:p>
      <w:r>
        <w:t>Le recours a été déposé selon la forme et dans le délai prescrits (art. 385 al. 1 et 396 al. 1 CPP) à l'encontre d'une ordonnance sujette à recours auprès de la Chambre de céans (art. 393 al. 1 let. a CPP).![endif]&gt;![if&gt;</w:t>
      </w:r>
    </w:p>
    <w:p>
      <w:r>
        <w:rPr>
          <w:b/>
        </w:rPr>
        <w:t>E. 2.1</w:t>
      </w:r>
    </w:p>
    <w:p>
      <w:r>
        <w:t>La recourante, partie plaignante, dispose d'un intérêt juridiquement protégé à l'annulation de la décision déférée en ce qui concerne les infractions protégeant son intégrité corporelle et sa liberté (art. 123 et 181 CP), soit ses intérêts individuels (art. 104 al. 1 let. b CPP; art. 382 al. 1 cum art. 115 al. 1 CPP). ![endif]&gt;![if&gt;</w:t>
      </w:r>
    </w:p>
    <w:p>
      <w:r>
        <w:rPr>
          <w:b/>
        </w:rPr>
        <w:t>E. 2.2</w:t>
      </w:r>
    </w:p>
    <w:p>
      <w:r>
        <w:t>Reste à examiner si elle dispose de la qualité pour recourir s'agissant du classement des faits potentiellement constitutifs de violation du devoir d'assistance ou d'éducation (art. 219 CP). ![endif]&gt;![if&gt;</w:t>
      </w:r>
    </w:p>
    <w:p>
      <w:r>
        <w:rPr>
          <w:b/>
        </w:rPr>
        <w:t>E. 2.2.1</w:t>
      </w:r>
    </w:p>
    <w:p>
      <w:r>
        <w:t>La partie dont émane le recours doit pouvoir se prévaloir d'un intérêt juridiquement protégé à l'annulation ou à la modification de la décision (art. 382 al. 1 CPP). Revêt la qualité de partie, le lésé qui déclare expressément vouloir participer à la procédure comme demandeur au civil ou au pénal (art. 104 al. 1 let. b et 118 al. 1 CPP). Le lésé est celui dont les droits sont directement touchés par une infraction (115 al. 1 CPP). Pour déterminer si une personne revêt un tel statut, il convient d'interpréter le texte de la disposition pénale enfreinte afin de savoir quel est le titulaire du bien juridique protégé (arrêt du Tribunal fédéral 6B_1185/2019 du 13 janvier 2020 consid. 2.1).![endif]&gt;![if&gt;</w:t>
      </w:r>
    </w:p>
    <w:p>
      <w:r>
        <w:rPr>
          <w:b/>
        </w:rPr>
        <w:t>E. 2.2.2</w:t>
      </w:r>
    </w:p>
    <w:p>
      <w:r>
        <w:t>L'art. 116 al. 2 CPP confère aux proches de la victime – soit notamment à la mère de la personne lésée qui, du fait d'une infraction, aurait subi une atteinte directe à son intégrité physique/psychique (art. 116 al. 1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 arrêt du Tribunal fédéral 6B_1105/2016 du 14 juin 2017 consid. 2.1 et 2.2 ainsi que les références citées). À défaut, la qualité de partie lui est déniée (arrêt du Tribunal fédéral 6B_1105/2016 précité).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 ATF 125 III 412 consid. 2a).![endif]&gt;![if&gt;</w:t>
      </w:r>
    </w:p>
    <w:p>
      <w:r>
        <w:rPr>
          <w:b/>
        </w:rPr>
        <w:t>E. 2.2.3</w:t>
      </w:r>
    </w:p>
    <w:p>
      <w:r>
        <w:t>L'infraction réprimée par l'art. 219 CP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ou psychique du mineur, soit d'une personne âgée de moins de 18 ans (arrêt du Tribunal fédéral 1B_500/2017 du 9 mars 2018 consid. 3.2 ; ATF 126 IV 136 consid. 1b p. 138). Son titulaire est par conséquent l'enfant et non ses parents (arrêt du Tribunal fédéral 6B_1100/2016 du 25 octobre 2017 consid. 1.4).![endif]&gt;![if&gt;</w:t>
      </w:r>
    </w:p>
    <w:p>
      <w:r>
        <w:rPr>
          <w:b/>
        </w:rPr>
        <w:t>E. 2.2.4</w:t>
      </w:r>
    </w:p>
    <w:p>
      <w:r>
        <w:t>En l'espèce, le bien juridiquement protégé par la disposition pénale en cause appartient exclusivement à G______ et H______, âgées respectivement de 17 et 13 ans. ![endif]&gt;![if&gt; La recourante, qui agit en son nom propre, ne fait aucune allusion, dans son mémoire, à l'art. 219 CP, se contentant de critiquer le classement des faits en lien avec cette infraction. Elle ne détaille nullement les motifs pour lesquels elle s'estimerait fondée à recourir pour elle-même contre cet aspect de la décision litigieuse et ne remet aucunement en cause la qualification juridique retenue par le Ministère public lorsqu'il a procédé à l'analyse des comportements en question. En outre, elle ne prétend pas agir en qualité de proche d'une victime présumée (art. 116 al. 1 CPP). Elle n'allègue pas avoir subi, du chef des agissements du mis en cause, des souffrances morales comparables à celles qui auraient été les siennes en cas de décès de ses enfants. Au vu de ce qui précède, il faut lui nier la qualité pour recourir à titre personnel s'agissant de l'infraction considérée. Les développements de la recourante ne permettent pas non plus de conclure qu'elle agirait au nom de ses filles mineures (art. 106 al. 2 et 3 CPP), dont elle disposerait à tout le moins de l'accord tacite, ou que ces dernières, par hypothèse, ne seraient pas en mesure d'exercer leurs droits strictement personnels de manière autonome (arrêt du tribunal fédéral 6B_301/2021 du 21 juillet 2021 consid. 1.2.1; arrêt du Tribunal fédéral 6P.121/2003 du 9 octobre 2003 consid. 3.2; Y. JEANNERET/ A. KUHN/ C. PERRIER DEPEURSINGE (éds), Commentaire romand : Code de procédure pénale suisse, 2ème éd., Bâle 2019, n. 14 ad art. 106). Au contraire, la plainte et le recours sont formés au seul nom de la recourante. La plainte ne visait d'ailleurs pas cette infraction. Pour ces motifs, le recours n'est pas recevable en tant qu'il vise le classement des faits potentiellement constitutifs d'infraction à l'art. 219 CP.</w:t>
      </w:r>
    </w:p>
    <w:p>
      <w:r>
        <w:rPr>
          <w:b/>
        </w:rPr>
        <w:t>E. 3</w:t>
      </w:r>
    </w:p>
    <w:p>
      <w:r>
        <w:t>La recourante fait grief au Ministère public d'avoir classé sa plainte, et ce, sans avoir procédé aux actes d'enquête sollicités par ses soins. ![endif]&gt;![if&gt;</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![endif]&gt;![if&gt; Cette disposition doit être appliquée conformément à l'adage " in dubio pro duriore "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du Tribunal fédéral 6B_635/2018 du 24 octobre 2018)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3.2</w:t>
      </w:r>
    </w:p>
    <w:p>
      <w:r>
        <w:t>La recourante considère qu'il existe des soupçons suffisants de contrainte (art. 181 CP). ![endif]&gt;![if&gt;</w:t>
      </w:r>
    </w:p>
    <w:p>
      <w:r>
        <w:rPr>
          <w:b/>
        </w:rPr>
        <w:t>E. 3.2.1</w:t>
      </w:r>
    </w:p>
    <w:p>
      <w:r>
        <w:t>Selon l'art. 181 CP, est punissable celui qui, en usant de violence envers une personne ou en la menaçant d'un dommage sérieux, ou en l'entravant de quelque autre manière dans sa liberté d'action, l'aura obligée à faire, à ne pas faire ou à laisser faire un acte.![endif]&gt;![if&gt;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 du Tribunal fédéral 6B_160/2017 du 13 décembre 2017 consid. 7.1).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w:t>
      </w:r>
    </w:p>
    <w:p>
      <w:r>
        <w:rPr>
          <w:b/>
        </w:rPr>
        <w:t>E. 3.2.2</w:t>
      </w:r>
    </w:p>
    <w:p>
      <w:r>
        <w:t>En l'espèce, la recourante reproche à son époux d'avoir restreint sa liberté d'action en fermant à clef certaines pièces du domicile conjugal. Elle se plaint d'avoir été ainsi forcée de se cantonner dans sa chambre, puis, finalement, de quitter le logement familial. ![endif]&gt;![if&gt; L'instruction menée par le Ministère public a permis de démontrer que la recourante avait accès à la totalité du premier étage – lequel comprend notamment sa chambre, son dressing, un salon et des salles de bain – ainsi qu'à la cuisine du rez-de-chaussée. Le mis en cause a expliqué qu'hormis son bureau, qu'il était le seul à utiliser, toute la famille bénéficiait des mêmes accès au premier étage – qui à lui seul représentait 200 m 2 – ainsi qu'à la cuisine, conformément aux directives de sa famille à lui, propriétaire des lieux depuis le décès de sa grand-mère survenu en avril 2019. En outre, des effets personnels de celle-ci étaient toujours stockés dans certaines pièces "inaccessibles" du rez-de-chaussée. La recourante n'a jamais remis en question les motifs exposés par son époux sur les restrictions évoquées. Il apparaît alors que la recourante n'était nullement claustrée dans sa chambre comme elle le plaide et que, si elle y passait du temps, ce n'était pas en raison d'un acte de contrainte. Au contraire, lorsqu'elle bénéficiait encore de la jouissance du domicile conjugal, elle disposait, selon toute vraisemblance, d'un large espace de vie, comprenant toutes les commodités que l'on peut attendre d'un logement. En outre, elle n'a pas été contrainte de quitter le domicile conjugal à cause du comportement de son époux, mais en raison d'une décision civile l'y obligeant. En définitive, la restriction d'accès – au demeurant expliquée par le mis en cause – à certaines pièces spécifiques du domicile n'atteint manifestement pas le seuil de gravité requis par l'art. 181 CP, dès lors que ce comportement n'a pas entravé la recourante dans sa liberté d'action de manière substantielle. Partant, le Ministère public était fondé à classer ces faits.</w:t>
      </w:r>
    </w:p>
    <w:p>
      <w:r>
        <w:rPr>
          <w:b/>
        </w:rPr>
        <w:t>E. 3.3</w:t>
      </w:r>
    </w:p>
    <w:p>
      <w:r>
        <w:t>La recourante estime qu'il existe des soupçons suffisants de commission de l'infraction de lésions corporelles simples (art. 123 ch. 1 al. 1 CP).![endif]&gt;![if&gt;</w:t>
      </w:r>
    </w:p>
    <w:p>
      <w:r>
        <w:rPr>
          <w:b/>
        </w:rPr>
        <w:t>E. 3.3.1</w:t>
      </w:r>
    </w:p>
    <w:p>
      <w:r>
        <w:t>Aux termes de l'art. 123 al. 1 CP est punissable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2.1).![endif]&gt;![if&gt;</w:t>
      </w:r>
    </w:p>
    <w:p>
      <w:r>
        <w:rPr>
          <w:b/>
        </w:rPr>
        <w:t>E. 3.3.2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références citées).![endif]&gt;![if&gt;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 notamment le conjoint (let. b) – et dénotent une certaine habitude (ATF 134 IV 189 consid. 1.2. p. 191; 129 IV 216 consid. 3.1 p. 222).</w:t>
      </w:r>
    </w:p>
    <w:p>
      <w:r>
        <w:rPr>
          <w:b/>
        </w:rPr>
        <w:t>E. 3.3.3</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p. 191 et les références citées) ont également été qualifiées de voies de fait: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l'ébouriffage d'une coiffure soigneusement élaborée ou encore un « entartage » et la projection d'objets durs d'un certain poids (ATF 117 IV 14 consid. 2a/cc p. 17; arrêts du Tribunal fédéral 6B_163/2008 du 15 avril 2008 consid. 2 et 6P.99/2001 du 8 octobre 2001 consid. 2b et 2c).![endif]&gt;![if&gt;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3.3.4</w:t>
      </w:r>
    </w:p>
    <w:p>
      <w:r>
        <w:t>Aux termes de l'art. 31 CP, le droit de porter plainte se prescrit par trois mois (1ère phr.). Le délai court du jour où l'ayant droit a connu l'auteur de l'infraction (2ème phr.). L'observation du délai de plainte fixé à l'art. 31 CP est une condition d'exercice de l'action publique (ATF 118 IV 325 consid. 2b p. 328/329).![endif]&gt;![if&gt;</w:t>
      </w:r>
    </w:p>
    <w:p>
      <w:r>
        <w:rPr>
          <w:b/>
        </w:rPr>
        <w:t>E. 3.3.5</w:t>
      </w:r>
    </w:p>
    <w:p>
      <w:r>
        <w:t>En l'espèce, la recourante allègue avoir été victime, à plusieurs reprises, de violences physiques de la part de son époux durant le mariage. ![endif]&gt;![if&gt; S'agissant en premier lieu des évènements de juillet 2017, la position adoptée par le mis en cause consiste à dire que la recourante a modifié sa version des faits entre la première et la seconde visite médicale pour appuyer ses prétentions dans le cadre de la procédure de séparation, initiée par elle quelques mois après l'établissement du certificat médical du 5 octobre 2018. De son côté, la recourante a prouvé, par certificat médical, qu'elle présentait, plus d'un an auparavant, une contusion thoracique. S'agissant de l'origine de celle-ci, elle a expliqué avoir eu, dans un premier temps, honte de dire la vérité à son médecin, avant de se décider, dans un second temps, à admettre la cause réelle – selon elle – de la blessure. Le certificat médical précise qu'il n'est pas inhabituel pour des victimes de violence de signaler une agression après un certain temps. Force est toutefois de conclure que rien ne permet d'imputer la lésion à un comportement du mis en cause. En effet, aucune des autres attestations médicales produites ne fait spécifiquement référence à cet évènement. Son psychiatre, le Dr E______, décrit un état de stress post-traumatique imputé à des actes de violences que sa patiente allègue avoir subis, sans cibler d'incident particulier datant de l'été 2017. Les témoins entendus sur ces faits – dont les déclarations doivent être appréciées avec circonspection vu leur absence au moment de l'incident – ont attesté de l'existence d'un climat conflictuel, voire violent, en 2017, mais aucune des personnes interrogées n'a mentionné cette contusion thoracique. K______ a fait référence à des "côtes cassées" , admettant toutefois qu'elle ne connaissait pas encore la plaignante à cette époque. Les éléments du dossier sont insuffisants pour retenir des soupçons de lésions corporelles simples (art. 123 CP). Aucune mesure d'instruction complémentaire ne permettrait de déterminer l'origine de cette blessure. En particulier, l'audition des médecins sollicitée par la recourante n'apporterait aucun élément supplémentaire, dans la mesure où ceux-ci ont déjà fourni plusieurs certificats médicaux faisant état de leur diagnostic respectif. Dans ces circonstances, un acquittement semble s'imposer comme la seule issue à la présente cause si elle devait être renvoyée par-devant le juge du fond. Partant, le Ministère public était fondé à classer ces faits. S'agissant, en second lieu, de l'altercation du 17 août 2018, il n'est pas démenti qu'une dispute a eu lieu ce jour-là entre les époux et que la recourante faisait état, à cette date, d'une blessure sur le bras. Devant la police, le prévenu a déclaré ne jamais avoir empoigné son épouse par le bras, précisant avoir été se coucher lorsqu'il est rentré ce soir-là. À l'audience, il a nié toute altercation physique le jour des faits, expliquant ne pas connaître la cause de la contusion, qu'il n'avait lui-même pas vue. De son côté, la recourante a produit, outre le certificat médical attestant de la contusion, les échanges Whatsapp qu'elle allègue avoir eus avec son époux en lien avec l'évènement du 17 août 2018. Il en ressort notamment que le mis en cause a écrit : "Oui tu t es fais un bleu quand je t ai poussé. D ailleurs pourquoi tu me bloquait comme ça pour pas que je sorte ? [ ] Quelle violence je ne t ai pas tapé !!! Je t ai poussé parce que tu ne voulais pas me laisser sortir de la cuisine" , après qu'elle lui eut envoyé un cliché de sa blessure. Il découle de ce qui précède que, selon toute vraisemblance, le mis en cause a infligé cette atteinte physique à la recourante en la poussant afin qu'elle s'écarte de son chemin. Toutefois, l'atteinte en cause – une contusion – constitue une blessure superficielle qui ne saurait atteindre le degré de gravité pour être qualifiée de lésion corporelle simple, en raison de sa taille et du temps prévisible de guérison. La recourante n'allègue ni ne prouve avoir subi d'importantes douleurs telles que requises pour revêtir cette qualification juridique, de telle manière que les faits dénoncés doivent être analysés sous l'angle de l'art. 126 CP. L'aggravante de l'art. 126 al. 2 let. b CP ne trouve pas application dans le présent cas, dans la mesure où il n'est pas possible de conclure, à teneur des éléments du dossier, que les voies de fait se seraient déroulées à réitérées reprises. En effet, si elle allègue avoir été victime de violences conjugales depuis plusieurs années, la recourante ne fait aucune référence à des évènements particuliers, outre les faits de juillet 2017 dont le classement a été confirmé, qui laisseraient entrevoir une répétition. Le comportement reproché ayant eu lieu le 17 août 2018, la plainte, déposée le 29 mai 2019, soit plus de neuf mois après les faits, est tardive. Partant, c'est à bon droit que le Ministère public a classé les faits.</w:t>
      </w:r>
    </w:p>
    <w:p>
      <w:r>
        <w:rPr>
          <w:b/>
        </w:rPr>
        <w:t>E. 4</w:t>
      </w:r>
    </w:p>
    <w:p>
      <w:r>
        <w:t>Par conséquent, l'ordonnance querellée sera confirmée et le recours rejeté. ![endif]&gt;![if&gt;</w:t>
      </w:r>
    </w:p>
    <w:p>
      <w:r>
        <w:rPr>
          <w:b/>
        </w:rPr>
        <w:t>E. 5</w:t>
      </w:r>
    </w:p>
    <w:p>
      <w:r>
        <w:t>La recourante, qui succombe, supportera les frais envers l'État, fixés en totalité à CHF 1'200.-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