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P/1140/2017 vom 2. Juli 2019</w:t>
      </w:r>
    </w:p>
    <w:p>
      <w:r>
        <w:t>GE Cour de justice, 2019-07-02, FR</w:t>
      </w:r>
    </w:p>
    <w:p>
      <w:r>
        <w:rPr>
          <w:b/>
        </w:rPr>
        <w:t xml:space="preserve">Quelle: </w:t>
      </w:r>
      <w:r>
        <w:t>https://mcp.opencaselaw.ch/entscheid/ge_gerichte_P_1140_2017</w:t>
      </w:r>
    </w:p>
    <w:p>
      <w:r>
        <w:t>FR: GE_GERICHTE P/1140/2017 du 2 juillet 2019</w:t>
      </w:r>
    </w:p>
    <w:p>
      <w:r>
        <w:t>IT: GE_GERICHTE P/1140/2017 del 2 luglio 2019</w:t>
      </w:r>
    </w:p>
    <w:p>
      <w:pPr>
        <w:pStyle w:val="Heading2"/>
      </w:pPr>
      <w:r>
        <w:t>Regeste</w:t>
      </w:r>
    </w:p>
    <w:p>
      <w:r>
        <w:t>FIXATION DE LA PEINE;COMMERCE DE STUPÉFIANTS;CAS DE RIGUEUR;CIRCONSTANCES PERSONNELLES;EXPULSION(DROIT PÉNAL)</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L'appelant reconnaît, à raison vu les éléments du dossier, sa culpabilité telle que retenue par les premiers juges mais conteste avoir eu un rôle de chef par rapport à C______. Or, s'il est vrai qu'un lien amical paraît lier les deux hommes et que le comparse ne semble pas avoir été servilement soumis à l'appelant, il demeure que selon les éléments mis en exergue ci-dessus, il arrivait souvent, bien que pas systématiquement, que, après avoir négocié la transaction par téléphone, l'appelant envoie C______ au contact des clients, livrer la drogue et récolter le prix de vente, lui faisant courir le risque d'arrestation. Cela résulte de certaines conversations téléphonique et observations policières, ainsi que des déclarations de S______ qui a de plus souligné que C______ devait en référer à l'appelant. Il est vrai que, confronté à l'appelant et à C______, ce protagoniste n'a pas voulu élaborer davantage sur la distribution des rôles, mais il avait néanmoins indiqué confirmer ses déclarations, en début d'audition, et celles-ci sont cohérentes et crédibles puisque corroborées par les autres éléments précités. Par ailleurs, l'appelant était en contact direct avec le fournisseur, avec lequel il a discuté des modalités de paiement du montant de " 150 " (soit, selon le jugement, EUR 150'000.- à 163'300.-), peu importe qu'il se soit agi de payer des livraisons antérieures ou celle du 14 mars 2017, et menait les négociations avec les clients-grossistes. Enfin, il est établi et pas contesté que c'est l'appelant qui a recruté F______, un ami d'enfance, et N______, même si C______ indique l'avoir également connu. Le fait que C______ ait tenté de décharger en partie son ami et comparse, affirmant que c'était lui qui lui avait remis le téléphone W______ utilisé durant l'opération des 13-14 mars 2017 n'est guère pertinent. D'un parte cela n'est pas établi ; d'autre part, il pouvait fort bien entrer dans ses tâches de bras-droit que de réunir le matériel nécessaire à la logistique de l'opération. Ainsi, c'est à juste titre que les premiers juges ont retenu, suivant l'acte d'accusation, que l'appelant était à la tête de la cellule locale du trafic, C______ lui servant de bras droit et livreur, et F______ de livreur et " nourrice ", mettant à disposition son logement et son box pour stocker le haschisch. Comme il peut être déduit des déclarations de l'appelant, si ce n'est de la plaidoirie de sa défense, en filigrane de la contestation de son rôle de chef se dessine la thèse selon laquelle lui-même et C______ n'auraient été que de simples exécutants du propriétaire de la drogue, dont il ne veut dévoiler l'identité, son tort ayant été celui d'accepter un " petit boulot ", " pas grand-chose ". Or, il résulte clairement des éléments du dossier que l'appelant disposait à Genève de son propre réseau de clients-grossistes, auxquels il était en mesure de livrer de très importantes quantités de haschisch, s'approvisionnant en divers lieux (H______, M______ et O______ outre la livraison reçue sur l'aire de L______) ; il n'y a aucune trace de ce qu'il prenait des ordres du ou de tiers fournisseur(s) en lien avec l'écoulement de la drogue à Genève. D'ailleurs, l'appelant n'attaque pas le jugement s'agissant de la créance compensatrice de CHF 50'250.- prononcée à son encontre, aveu implicite de ce que ses gains ont dépassé les EUR 8'000.- à 9'000.- concédés durant l'instruction. Il est ainsi également confirmé que la cellule à la tête de laquelle il s'est trouvé oeuvrait indépendamment et pour son propre compte à l'écoulement de haschisch dans la région genevoise.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3.1.2.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p. 103 ; ATF 121 IV 193 consid. 2b/aa p. 196 ; arrêt du Tribunal fédéral 6B_189/2017 du</w:t>
      </w:r>
    </w:p>
    <w:p>
      <w:r>
        <w:rPr>
          <w:b/>
        </w:rPr>
        <w:t>E. 7</w:t>
      </w:r>
    </w:p>
    <w:p>
      <w:r>
        <w:t>décembre 2017 consid. 5.1 et les références). Le type de drogue et sa pureté doivent aussi être pris en considération (ATF 122 IV 299 consid. 2c p. 301 s. ; ATF 121 IV 193 consid. 2b/aa p. 196).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fédéral 6B_780/2018 du 9 octobre 2018 consid. 2.1 ; 6B_807/2017 du 30 janvier 2018 consid. 2.1 ; 6B_189/2017 du 7 décembre 2017 consid. 5.1.).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3.1.3. Le droit de se tairefait partie des normes internationales généralement reconnues qui se trouvent au coeur de la notion de procès équitable, selon l'art. 6 par. 1 Convention de sauvegarde des droits de l'homme et des libertés fondamentales du 4 novembre 1950 (CEDH - RS 0.101 ;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3.1.4. L'absence d'antécédents a, en principe, un effet neutre sur la fixation de la peine et n'a donc pas à être prise en considération dans un sens atténuant (ATF 141 IV 61 consid. 6.3.2 p. 70). 3.1.5.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(arrêts du Tribunal fédéral 6B_376/2018 du 25 septembre 2018 consid. 3.3 ; 6B_797/2018 du 19 septembre 2018 consid. 4 ; 6B_352/2018 du 27 juillet 2018 consid. 4.1.2 ; 6B_1182/2017 du 12 avril 2018 consid. 2.3 et les références). 3.1.6. Dans l'exercice de son pouvoir d'appréciation, le juge doit respecter, en particulier, le principe d'égalité de traitement (art. 8 al. 1 de la Constitution fédérale de la Confédération suisse du 18 avril 1999 [Cst. - RS 101] ; ATF 135 IV 191 consid. 3.2 p. 193 s. ; cf. au regard de l'art. 63 a CP, ATF 120 IV 136 consid. 3a p. 144).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141 IV 61 consid. 6.3.2 p. 69 ; ATF 135 IV 191 consid. 3.2 p. 193 s. ; ATF 121 IV 202 consid. 2b p. 244 ss ; arrêts du Tribunal fédéral 6B_1015/2017 du 13 mars 2018 consid. 4.4.1 ; 6B_794/2015 du 15 août 2016 consid. 1.1 et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Toutefois, la juste proportion des peines des coauteurs doit être prise en compte comme élément dans l'appréciation de la peine (ATF 135 IV 191 consid. 3.2 p. 193 et 194 ; ATF 121 IV 202 consid. 2d p. 204 ss ; arrêt du Tribunal fédéral 6B_794/2015 du 15 août 2016 consid. 1.1).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(cf. ATF 123 IV 150 consid. 2b p. 153 s. ; ATF 121 IV 202 consid. 2.d.bb p. 204 s. ; ATF 120 IV 136 consid. 3b p. 144 s. ; arrêts du Tribunal fédéral 6B_1165/2014 du 28 octobre 2015 consid. 2.5.1 ; 6B_754/2013 du 26 novembre 2013 consid. 3.4.1).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 arrêts du Tribunal fédéral arrêt du Tribunal fédéral 6B_454/2016 du 20 avril 2017 consid. 5.1 ; 6B_794/2015 du 15 août 2016 consid. 1.1).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(arrêts du Tribunal fédéral 6B_654/2018 du 5 septembre 2018 consid. 3.5.1 ; 6B_1015/2017 du 13 mars 2018 consid. 4.4.1). Toutefois, elle devra s'y référer et motiver pourquoi la peine prononcée à l'encontre du coauteur ne saurait servir de moyen de comparaison (ATF 135 IV 191 consid. 3.3 p. 194 s. ; arrêts du Tribunal fédéral 6B_454/2016 du 20 avril 2017 consid. 5.1 ; 6B_794/2015 du 15 août 2016 consid. 1.1). 3.2.1. La faute de l'appelant est très lourde, comme il ne le conteste pas. Ainsi que retenu par les premiers juges, il a coordonné et participé à un très important trafic international de cannabis à destination de la Suisse, ce à la tête de la cellule qui écoulait la drogue dans la région genevoise. Les quantités en jeu sont exceptionnelles, d'où des enjeux financiers très importants. L'appelant a pris de nombreuses mesures organisationnelles, recrutant notamment F______ et N______, et démontrant un niveau certain de professionnalisme. Il veillait en outre à limiter les risques le concernant, déléguant souvent les activités les plus exposées à son bras droit et aux deux précités, lui-même se contentant notamment de veiller sur les transports internationaux en fonctionnant comme voiture ouvreuse. Son arrestation pour les faits de 2015 ne lui a aucunement servi d'avertissement, au contraire, puisque d'une activité ponctuelle et d'un rôle secondaire il s'est lancé dans une activité d'une toute autre envergure. La seconde période pénale est de quelques mois mais seule l'arrestation du prévenu a permis de mettre un terme à son activité criminelle intense. Le mobile est égoïste, à savoir l'appât du gain facile, et rien dans la situation personnelle du prévenu ne permet de justifier ou d'expliquer son passage à l'acte. Au contraire, son statut de père de famille de petites filles à naître ou en bas âge aurait dû le retenir, de même que sa situation légale en Suisse. Au demeurant, les difficultés financières évoquées pour justifier ses agissements étaient relatives, l'intéressé bénéficiant du droit au chômage et son épouse d'un salaire régulier. Les antécédents, non spécifiques et anciens, ne jouent pas de rôle. La collaboration de l'appelant a été mauvaise tout au long de la procédure. Encore en appel, bien que ne contestant plus le verdict de culpabilité, il a tenté de minimiser son rôle et la gravité de sa faute, ce qui dément ses protestations quant à une prise de conscience. En définitive, il parait surtout regretter les conséquences négatives pour sa famille et lui-même. Il y a concours d'infractions, notamment avec les faits de 2015 ce qui aggrave nécessairement la peine. A juste titre, les premiers juges ont souligné qu'il fallait néanmoins tenir compte de la nature du stupéfiant en cause, moins dangereux que les drogues dites " dures ". Sur la base de l'analyse qui précède, la Cour ne saurait suivre l'appelant lorsqu'il soutient qu'une peine privative de liberté de quatre ans constituerait une sanction suffisante. 3.2.2. Celui-ci soutient en outre qu'il ne se justifierait pas de le sanctionner plus sévèrement, et dans une mesure d'une année, que C______. L'argument perd fortement en intensité du fait qu'il repose sur la prémisse, incorrecte, que les deux hommes avaient un rôle équivalent. En outre, la juridiction d'appel n'est pas liée par la peine infligée au bras-droit de l'appelant, qu'elle ne peut revoir, le jugement étant définitif en ce qui le concerne. On peut néanmoins relever que, pour différencier les peines, les premiers juges ont souligné que C______ n'était pas impliqué dans les faits de 2015 et avait eu un rôle subalterne dans ceux de 2016-2017. Ils auraient également dû rappeler qu'il n'était que partiellement intervenu en lien avec la livraison du 4 février 2017, n'ayant participé qu'à l'écoulement de la marchandise. A charge, celui-ci avait en outre commis deux ventes de cocaïne, en faible quantité, et, là encore, il aurait fallu rappeler que, contrairement à l'appelant, il avait des antécédents spécifiques en France, soit une condamnation à une peine privative de liberté de 8 ans prononcée en février 2010 pour un tarif de stupéfiants, dont il indiquait qu'il s'agissait du cannabis. 3.2.3. En définitive, tout bien pesé, il sera retenu qu'une différence de peine de six mois tient mieux compte du rôle prépondérant de l'appelant, l'autre prévenu ayant tout de même été son bras-droit, ce qui implique une position subalterne, mais proche, et est adéquate au regard de tous les autres critères entrant en considération. L'appel est donc partiellement admis et la peine infligée à l'appelant réduite à quatre ans et six mois. 4. 4.1. Conformément à l'art. 66a al. 1 CP, le juge expulse un étranger du territoire suisse pour une durée de cinq à quinze ans s'il est reconnu coupable de l'une des infractions énumérées aux let. a à o. Selon l'al. 2 de cette disposition, il peut néanmoins être renoncé à l'expulsion, exceptionnellement, lorsque celle-ci mettrait l'étranger dans une situation personnelle grave et que les intérêts public à l'expulsion ne l'emportent pas sur son intérêt à demeurer en Suisse, la situation de celui qui est né et a grandi en Suisse méritant une prise en compte particulière ( AARP/119/2017 du 20 mars 2017 consid. 4.1). Cette disposition consacre l'expulsion " obligatoire " de l'étranger condamné pour l'une des infractions ou combinaison d'infractions listées à l'al. 1, quelle que soit la quotité de la peine prononcée à son encontre et, en principe, indépendamment de la gravité des faits retenus (arrêt du Tribunal fédéral 6B_506/2017 du 14 février 2018 consid. 1.1 = SJ 2018 I 397 ; A. BONARD, Expulsion pénale : la mise en oeuvre de l'initiative sur le renvoi, questions choisies et premières jurisprudences , in Forum poenale 5/2017 p. 315 ; G. FIOLKA / L. VETTERLI, Die Landesverweisung in Art. 66a ff StGB als strafrechtliche Sanktion , in Plädoyer 5/2016 p. 84). 4.2.1. Néanmoins, l'art. 66a al. 2 CP permet une dérogation à l'expulsion dite obligatoire, sous la forme d'une " Kannvorschrift ", en ce sens que le juge n'a pas l'obligation de renoncer à l'expulsion, mais peut le faire si les conditions fixées par cette disposition sont remplies. Les conditions posées par la loi sont cumulatives (arrêts du Tribunal fédéral 6B_706/2018 du 7 août 2018 consid. 2.1 ; 6B_296/2018 du 13 juillet 2018 consid. 3.2 ; 6B_506/2017 du 14 février 2018 consid. 1.1 et les références = SJ 2018 I 397). Afin de pouvoir renoncer à une expulsion prévue par l'art. 66a al. 1 CP, il faut que cette mesure mette l'étranger dans une " situation personnelle grave " et que l'intérêt public soit de peu d'importance, c'est-à-dire que les intérêts publics à l'expulsion ne l'emportent pas sur l'intérêt privé de l'étranger à demeurer en Suisse (arrêts du Tribunal fédéral 6B_612/2018 du 22 août 2018 consid. 2.1 ; 6B_296/2018 du 13 juillet 2018 consid. 3.2 ; 6B_1299/2017 du 10 avril 2018 consid. 2.1 ; M. BUSSLINGER / P. UEBERSAX, op. cit. , p. 96 ss ; A. BERGER, Umsetzungsgesetzgebung zur Ausschaffungsinitiative , in Jusletter 7 août 2017 n. 6.1 p. 20).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(arrêts du Tribunal fédéral 6B_1027/2018 du 7 novembre 2018 consid. 1.3 ; 6B_724/2018 du 30 octobre 2018 consid. 2.3.2 et les références). 4.2.2.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de la Convention de sauvegarde des droits de l'homme et des libertés fondamentales du 4 novembre 1950 (CEDH - RS 0.101) (arrêts 6B_1027/2018 du 7 novembre 2018 consid. 1.4 ; 6B_724/2018 du 30 octobre 2018 consid. 2.3.2 ; 6B_371/2018 du 21 août 2018 consid. 2.5).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 p. 101 ; G. FIOLKA / L. VETTERLI, op. cit ., p. 87 ; AARP/185/2017 du 2 juin 2017 consid. 2.2).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144 IV 332 , consid. 3.3.2). 4.2.3. 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[requête no 6009/10] § 55 ; Dalia c. France du 19 février 1998, Recueil CourEDH 1998-I 76 § 54 ; cf. aussi arrêt 6B_1192/2018 du 23 janvier 2019 consid. 2.2.3), ce qui rend les intérêts présidant à l'expulsion de l'intéressé importants(arrêt du Tribunal fédéral 6B_1329/2018 du 14 février 2019 consid. 2.4.2). 4.3.1. Reconnu coupable d'infraction grave à la LStup pour les faits commis fin 2016 - début 2017, l'appelant tombe en principe sous le coup de l'expulsion obligatoire, ce qu'il ne conteste pas. Suite à l'exécution de cette mesure, il serait donc contraint de s'éloigner de Genève, mais rien ne l'empêcherait de s'installer, du côté français, dans un périmètre de quelques kilomètres, où il a d'ailleurs grandi et où résident ses parents ainsi que ses frères et soeur. 4.3.2. Il est vrai que l'exécution de la mesure constituerait une ingérence dans sa vie privée et familiale, dès lors qu'il serait contraint de quitter un pays où il est intégré socialement, pour y compter de nombreux amis et y avoir exercé des activités, notamment sportives, et où vit sa famille, son épouse et ses deux filles ayant par ailleurs la nationalité suisse. Le niveau d'intégration doit cependant être relativisé, l'appelant n'ayant résidé en Suisse que de septembre 2014 à son arrestation du mois de mars 2017, commettant la première infraction en octobre 2015, et étant au chômage depuis le mois de septembre 2016. Précédemment, il a certes eu diverses occupations, notamment initié un apprentissage qu'il n'a pas terminé, mais uniquement en qualité de frontalier. En prolongement, il est relevé que rien ne garantit que la place de chauffeur livreur apparemment promise à l'appelant sera encore disponible lorsqu'il pourra songer à l'occuper, au bénéfice du régime de l'art. 77a CP ou d'une libération conditionnelle, d'autant que son permis de séjour est échu. Inversement, rien n'indique que les possibilités d'intégration de l'appelant dans son pays d'origine seraient plus mauvaises qu'en Suisse. En ce qui concerne l'ingérence dans la vie familiale, protégée par l'art 8 CEDH, l'expulsion placerait l'épouse de l'appelant devant l'obligation de devoir choisir entre s'installer auprès de son époux en France voisine ou se résigner à une vie séparée, à tout le moins durant quelques années, choix dont on peut admettre qu'il serait d'autant plus difficile qu'il aurait des conséquences pour les enfants du couple également. Néanmoins, si elle optait pour la première solution, Y______ ne devrait pas nécessairement renoncer à son travail, rien ne permettant de retenir qu'elle serait licenciée si elle devait s'installer de l'autre côté de la frontière, à l'instar de tous ceux qui font ce trajet quotidiennement. Cela n'a d'ailleurs pas été soutenu, ni encore moins établi. Les enfants sont jeunes et pourraient probablement être maintenues dans leur école, si elles étaient déjà scolarisées au moment d'un déménagement, ou s'intégrer sans difficulté dans une école française, étant rappelé que nombreux sont les enfants qui changent d'école au gré des circonstances de la vie (déménagement volontaire des parents, nouvelle affectation professionnelle, séparation, etc.). Il est douteux qu'une solution de relogement serait exclue du fait que l'épouse de l'appelant a des poursuites. L'éloignement d'avec sa propre mère se limiterait à quelques kilomètres supplémentaires. Inversement, si le couple devait convenir d'un maintien de la famille à Genève, rien n'empêcherait la femme et les enfants de rejoindre très régulièrement l'époux et père dans la région frontalière. En définitive, l'appelant et ses proches subiraient une atteinte de leur droit à la vie familiale, mais dans une mesure limitée, le noyau en étant préservé. Le même raisonnement vaut pour la vie sociale de l'intéressé, qui pourrait continuer de fréquenter ses amis genevois, pour peu qu'ils fassent le déplacement de l'autre côté de la frontière. Force est ainsi de constater que la première des deux conditions cumulatives de l'art. 66 al. 2 CP, soit celle de la situation personnelle grave causée par l'expulsion n'est pas réalisée, de sorte qu'on peut se dispenser d'examiner la seconde. L'appel est par conséquent rejeté en ce qu'il vise l'expulsion judiciaire du condamné, dont les premiers juges ont a raison limité la durée au minimum légal de cinq ans, tenant ainsi compte des attaches de l'intéressé avec la Suisse. 5. L'appelant n'obtient que partiellement gain de cause. Il supportera les deux tiers des frais de la procédure d'appel comprenant un émolument d'arrêt de CHF 2'100.- (art. 14 let. e du règlement fixant le tarif des frais en matière pénale du 22 décembre 2010 [RTFMP - E 4 10.03]), sans qu'il ne se justifie de revoir la répartition de ceux de la procédure préliminaire et de première instance (art. 428 CPP). 6. 6.1.1.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6.1.3.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6.1.4. De jurisprudence constante, la rédaction de la déclaration d'appel, laquelle n'a pas à être motivée et peut consister en une simple lettre, est réputée couverte par le forfait octroyé pour les opérations diverses (ordonnance de la Cour des plaintes du Tribunal pénal fédéral BB.2014.51 du 21 novembre 2014 consid. 2.1 ; décisions de la Cour des plaintes du Tribunal pénal fédéral BB.2013.165 du 24 janvier 2014 consid. 4.1.3 et BB.2013.127 du 4 décembre 2013 consid. 4.2). 6.1.5.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6.1.6.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6.7. Vu les principes qui précèdent, seront écartés de l'état de frais les visites de la collaboratrice à la prison au mois de mai 2019, seule celle de la cheffe d'étude étant retenue, de même que le temps consacré par celle-là à la rédaction de la déclaration d'appel et aux recherches juridiques. Pour le surplus, considéré globalement, le temps consacré au dossier par les deux avocates parait répondre aux impératifs régissant l'assistance judiciaire. Me B______ se verra ainsi rémunérée par CHF 3'319.85 pour : -          huit heures et demi (audience comprise) x CHF 200.- 1'700.- -          six heures 45 x CHF 150.- 1'012.50.- -          forfait 10% (vu le temps consacré à l'ensemble de la procédure) 270.- -          forfait vacation 100.- -          TVA (7.7 %) 237.35.-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