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P/11382/2009 vom 27. Juni 2014</w:t>
      </w:r>
    </w:p>
    <w:p>
      <w:r>
        <w:t>GE Cour de justice, 2014-06-27, FR</w:t>
      </w:r>
    </w:p>
    <w:p>
      <w:r>
        <w:rPr>
          <w:b/>
        </w:rPr>
        <w:t xml:space="preserve">Quelle: </w:t>
      </w:r>
      <w:r>
        <w:t>https://mcp.opencaselaw.ch/entscheid/ge_gerichte_P_11382_2009</w:t>
      </w:r>
    </w:p>
    <w:p>
      <w:r>
        <w:t>FR: GE_GERICHTE P/11382/2009 du 27 juin 2014</w:t>
      </w:r>
    </w:p>
    <w:p>
      <w:r>
        <w:t>IT: GE_GERICHTE P/11382/2009 del 27 giugno 2014</w:t>
      </w:r>
    </w:p>
    <w:p>
      <w:pPr>
        <w:pStyle w:val="Heading2"/>
      </w:pPr>
      <w:r>
        <w:t>Regeste</w:t>
      </w:r>
    </w:p>
    <w:p>
      <w:r>
        <w:t>INFRACTIONS CONTRE L'HONNEUR; CALOMNIE; FIXATION DE LA PEINE; ATTÉNUATION DE LA PEINE | CP.174.1; CP.49.A.1; CP.48.1.C; CP.48.E; CP.178; CP.52; CP.34.1; CP.34.2; CPP.389; CPP.433.1.2</w:t>
      </w:r>
    </w:p>
    <w:p>
      <w:pPr>
        <w:pStyle w:val="Heading2"/>
      </w:pPr>
      <w:r>
        <w:t>Erwägungen</w:t>
      </w:r>
    </w:p>
    <w:p>
      <w:r>
        <w:rPr>
          <w:b/>
        </w:rPr>
        <w:t>E. 1</w:t>
      </w:r>
    </w:p>
    <w:p>
      <w:r>
        <w:t>1.1.1 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TF 6B_643/2009 consid. 2.1 ; TF 4A_158/2009 , consid. 3.3 et les références citées ; B. CORBOZ, in Commentaire de la LTF, 2009, n o 27 ad art. 107 LTF). 1.1.2 La juridiction d'appel a été invitée par le Tribunal fédéral à procéder à un réexamen "pour chaque affirmation et en fonction du contexte pertinent ( ) si elle constitue un simple jugement de valeur et/ou l'affirmation d'un comportement contraire à l'honneur. Elle cherchera ensuite à savoir si [l'appelant] savait, le cas échéant, ces affirmations fausses et si ces dernières l'étaient objectivement, tout au moins en ce qui concerne les cas cités nommément. Dans la négative ainsi que dans les cas où seul entrerait un jugement de valeur, la cour devra encore examiner s'il y a lieu d'appliquer l'art. 173 CP, respectivement l'art. 177 CP, compte tenu, notamment, de la formulation de la plainte et de l'ordonnance de renvoi ( ). La Cour devra également rechercher si les propos en cause ont revêtu un caractère vexatoire et blessant qui aurait excédé les limites convenables de la polémique syndicale (ch. 5.3.8 de l'arrêt 6B_498/2012 du 14 février 2013). 1.2.1 L'autorité peut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1.2.2 Les témoins dont l'appelant requiert l'audition sont strictement les mêmes que ceux figurant sur la liste de témoins complémentaire déposée en vue de l'audience du Tribunal de police du 30 août 2011 (sous réserve d'un témoin écarté de la nouvelle liste) et, hors le témoin H______, les mêmes que ceux dont l'appelant a déjà requis l'audition devant la présidence de la juridiction d'appel. En ne contestant pas à l'ouverture des débats devant le Tribunal de police le refus que le président avait opposé à sa demande, l'appelant est tenu avoir consenti à la décision prise. Un second motif tient au fait que la réquisition de preuve présentée n'est pas nouvelle, qu'elle a déjà été écartée par ordonnance OARP/44/2012 et que le retour du dossier du Tribunal fédéral ne fonde pas un droit à revenir sur cette décision qui doit être tenue pour acquise. C'est sans compter que l'exécution d'une commission rogatoire internationale en Colombie reviendrait à ajourner sine die l'issue de la présente cause. Il pourrait en être autrement si, au fond, l'audition de ces témoins apparaissait comme indispensable au traitement de l'appel (arrêts du Tribunal fédéral 6B_614/2012 du 15 février 2013 consid. 3.2.3 et 6B_484 2012 du 11 décembre 2012 consid. 1.2). Or, le dossier soumis à l'appréciation de la CPAR contient plusieurs informations susceptibles de lui permettre de prendre une décision éclairée dans le cadre défini par le Tribunal fédéral. Au surplus, A______ affirme avoir été le récipiendaire des doléances des employés de l'intimé B______, de sorte qu'il lui est loisible de les rapporter devant la juridiction d'appel. Tels sont les motifs, tant formels que matériels, qui fondent le rejet des réquisitions de preuves contenues dans le courrier du 8 août 2013 et réitérées à l'ouverture des débats d'appel. 2.1.1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(ATF 132 IV 112 consid. 2.1 p. 115 ; 128 IV 53 consid. 1a p. 57-58 ; 119 IV 44 consid. 2a p. 47 ; 117 IV 27 consid. 2c p. 28-29 ; 116 IV 205 consid. 2 p. 206-207).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2.1.2 La calomnie visée à l'art. 174 ch. 1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La calomnie suppose une allégation de fait, et non un simple jugement de valeur, qui peut alors constituer une injure au sens de l'art. 177 CP (arrêt du Tribunal fédéral 6S_147/2002 du 21 août 2002 consid. 3.1., non publié à l’ATF 128 IV 260 ).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76 IV 244 -245, arrêt du Tribunal fédéral 6B_201/2009 du 10 juin 2009 consid. 2.1.2. ; B. CORBOZ, Les infractions en droit suisse, vol I, Berne, 2010, n. 12 ad art. 174). La connaissance de la fausseté doit exister au moment de la communication. Si elle ne peut être prouvée, il faut retenir la diffamation (B. CORBOZ, op. cit. , n. 14 ad art. 174). 2.2 Dans leur acception ordinaire, les termes utilisés par l'appelant en assemblée générale pour qualifier la partie plaignante ( "escroc" et "voleur" ) sont des allégations méprisantes et attentatoires à l'honneur, censées la salir. Ce ne sont pas des jugements de valeur qui reposent sur une réflexion de leur auteur, dû-t-elle déboucher sur l'expression d'une opinion peu flatteuse pour autrui. Les qualificatifs utilisés sont suffisamment explicites pour être compris par une assemblée de militants syndicaux, même de langue maternelle étrangère. Les termes utilisés figurent d'ailleurs dans le Code pénal pour stigmatiser des individus dont les actes sont susceptibles d'entraîner des sanctions pénales, ce qui est aisé à assimiler. Ces termes sont d'autant plus enclins à rendre méprisable l'intimé qu'ils s'accompagnent de l'évocation de diverses manœuvres auxquelles ce dernier aurait eu recours pour faire taire l'appelant ou l'inciter à la prudence. Dans ce sens, ils sont aussi blessants, car ils sous-tendent l'idée erronée que l'intimé était prêt à tout pour continuer à exploiter à sa guise ses employé(e)s de maison. Les conditions dans lesquelles l'appelant s'est exprimé ne l'exonèrent pas, contrairement à ce qu'il soutient. L'appelant allègue avoir été "remonté" par ce qu'il venait d'apprendre au téléphone. Or, les faits dénoncés ne constituaient nullement une surprise. Comme l'appelant l'a rappelé opportunément, les propos tenus par son interlocutrice n'ont fait que renforcer ses convictions sans les faire naître. L'appelant n'ignorait pas que les termes employés, en tant qu'ils visaient formellement l'intimé, ne correspondaient pas à la réalité formelle, mais il a voulu faire de lui un exemple des pires abus pourfendus par le C______. En tant que syndicaliste s'exprimant devant une assemble de militants, il lui appartenait de ne pas en rajouter, en salissant encore plus la réputation d'un employeur honni, sauf circonstances particulières, ce qu'un homme rompu aux contentieux avec des employeurs peu scrupuleux pouvait aisément comprendre. Son rôle ne consistait pas à épouser les thèses les plus extrêmes, ce d'autant que des témoignages discordants permettaient de se faire une idée moins noire des conditions de travail de l'employée de maison qui avait travaillé pour le compte de l'intimé (horaires, temps de vacances et de repos, etc.). L'appelant aurait aussi dû prendre en compte les années de travail à son service qui peuvent témoigner, même avec les réserves d'usage, de conditions que l'employée avait jugées supportables. Le caractère calomnieux des termes utilisés est d'autant plus marqué que la démarche de l'appelant s'est prolongée au-delà de l'assemblée générale, la reprise de termes offensants auprès d'une instance judiciaire témoignant d'une intention de nuire et non d'informer les sympathisants de la cause défendue par le syndicat. Ici, l'appelant ne peut plus se retrancher derrière le caractère spontané de propos tenus devant des militants ou les circonstances particulières d'une assemblée de militants expliquant un dérapage verbal. L'appelant y réitère les accusations de vol dans le contexte bien particulier du monde du travail, ce qui est d'autant plus blessant pour l'intimé que le destinataire est le président d'une chambre des Prud'hommes. Mais l'appelant ne s'arrête pas en si bon chemin, puisqu'il accuse à mots couverts l'intimé de tentative de corruption, ce qui ne fait que renforcer le caractère calomnieux de ses dires et écrits. L'épouse de l'appelant a apporté, bien malgré elle, une preuve supplémentaire du caractère attentatoire à l'honneur des qualificatifs dont l'appelant a usé. Dans le mémoire responsif devant les Prud'hommes, elle s'est bien gardée de les reprendre, utilisant au contraire une formule plus neutre et respectueuse de la dignité humaine, laquelle lui a permis de porter les griefs retenus à l'encontre de la partie plaignante sans les excès reprochés à l'appelant. Démonstration est ainsi faite que défendre une employée ne passe pas nécessairement par des propos attentatoires à l'honneur. Les griefs opposés à la partie plaignante ne faisaient pas d'elle un escroc ou un voleur, même si elle ne respectait pas les règles en matière de droit social et de travail, ce que l'intimé a implicitement reconnu ultérieurement en prenant soin de régulariser la situation administrative de son employée, ce que l'appelant ne pouvait ignorer en représentant la partie adverse aux Prud'hommes. L'appelant n'est, au cours de la procédure, jamais revenu sur ses déclarations, ou sinon de manière partielle pour l'un des termes utilisés. Il ne fait nul doute que le portrait dépeint par l'appelant, extrêmement négatif, correspond à celui d'une personne totalement méprisable. L'atteinte à l'honneur est donc ici évidente, s'agissant des accusations de vol et d'escroquerie. Un doute subsiste s'agissant du terme " esclavagiste n° 1" , comme le suggère le Tribunal fédéral. On se trouve ici davantage dans le cadre d'un jugement de valeur, à l'instar du terme utilisé dans le courrier du 31 mai 2009 pour désigner les travailleurs immigrés au service du N______ ou par un ancien employé de l'intimé en tant que chauffeur, dans une acception dont la formulation "être aux ordres" est assez explicite. Il n'y a pas davantage matière à retenir un cas d'injure à titre subsidiaire. S'agissant de la seconde condition de l'infraction, soit celle de la communication à un tiers, il convient de relever que la jurisprudence et la doctrine considèrent qu'un tiers correspond à toute personne qui n'est ni l'auteur, ni la personne visée par l'accusation, y compris un magistrat ou un fonctionnaire en activité. Or, dans le cas d'espèce, les accusations émises par l'appelant ont été proférées soit devant des tiers sympathisants, soit devant une autorité judiciaire, lesquels sont donc ainsi considérés comme des tiers au sens des art. 173 et 174 CP, de sorte qu'il faut admettre que la seconde condition d'application, commune à ces dispositions, est également remplie. Il sied également de relever qu'une plainte pénale, condition de poursuite, a été déposée dans les délais, soit dans les trois mois dès la connaissance de l'atteinte et de son auteur, par l'intimé. Le jugement du Tribunal de police sera confirmé sur ce point, sous réserve d'un des qualificatifs visés au sens des considérants qui précèdent. 2.3 L'appelant conclut à titre subsidiaire à l'octroi de circonstances atténuantes, soit celle d'avoir agi en cédant à un mobile honorable (art. 48 let. a ch. 1 CP), en proie à une émotion violente que les circonstances rendaient excusable (art. 48 let c CP) ou au bénéfice de l'écoulement du temps (art. 48 let. e CP). Même si l'appelant n'a pas repris ses conclusions lors des débats d'appel, il y a lieu de les examiner pour avoir fait partie de la déclaration d'appel. 2.3.1 Le mobile honorable doit être écarté, même si l'appelant a commis l'infraction reprochée dans le cadre d'un combat mené contre les conditions de travail précaires des employés de maison. Il sera rappelé à cet égard que la motivation politique n'est pas nécessairement honorable et qu'il doit en tout état y avoir un rapport avec l'infraction réalisée pour qu'une telle circonstance atténuante puisse être prise en compte (M. DUPUIS / B. GELLER / G. MONNIER / L. MOREILLON / C. PIGUET (éds), Code pénal : partie I – art. 1 - 110 , Bâle 2012, n. 6 et 7 ad art. 48).L 2.3.2.1 L'émotion violente, visée à l'art. 48 al. 1 let. c CP,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L'état d'émotion violente ( )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2.3.2.2 Rien dans la réaction de l'appelant ne correspond, de près ou de loin, à cette définition. Il a au contraire agi de manière réfléchie, en ayant pleine conscience de la portée des qualificatifs utilisés devant une assemblée de personnes dont il savait qu'elle lui prêterait des oreilles attentives. Eût-il existé, le comportement blâmable de la partie plaignante ne justifiait pas la réponse de l'appelant, qui aurait pu par exemple simplement mettre en garde son auditoire plutôt que de jeter l'opprobre sur l'intimé. Un tel raisonnement s'impose d'autant plus que l'appelant a maintenu ses propos calomnieux au-delà de l'assemblée générale, démontrant par ses écrits au Tribunal des Prud'hommes qu'il ne cédait à aucune réaction émotionnelle mais bien à une intention de nuire à l'intimé. 2.3.3.1 Selon le Tribunal fédéral, l'application de l'art. 48 let. e CP procède de la même idée que la prescription, à savoir la diminution de la nécessité de punir en raison de l'effet guérisseur du temps écoulé (ATF 82 IV 201 consid. a = JdT 1967 IV 44). Un temps relativement long s'est écoulé lorsque la prescription pénale est près d'être acquise (ATF 115 IV 95 consid. 3 = JdT 1992 IV 69), quoique cette règle ne soit pas valable pour les infractions soumises à un délai de prescription spécial d'une durée plus courte (ATF 82 IV 201 consid. Ib = JdT 1967 IV 44). 2.3.3.2 L'art. 178 CP prévoit une prescription spéciale pour les infractions constitutives des délits contre l'honneur, à savoir quatre ans, laquelle est largement inférieure à celle prévue pour les infractions d'une autre nature avec une peine-menace similaire, qui est en l'occurrence de sept ans (art. 97 al. 1 let. c CP). Il s'ensuit que la règle posée par l'art. 48 let. e CP ne s'applique pas au cas d'espèce, sans qu'il soit nécessaire d'examiner si la seconde condition de cette disposition légale est remplie. 2.4 Aucune circonstance atténuante ne peut ainsi être retenue au bénéfice de l'appelant. 2.5.1 L'appelantsollicite enfin d'être mis au bénéficede la renonciation à toute peine que prévoit l'art. 52 CP, aux termes duquel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2.5.2 La faute de l’appelant ne peut être qualifiée de particulièrement légère, même en tenant compte du caractère spécifique du combat mené pour défendre les droits d'une catégorie particulièrement vulnérable de travailleurs. Le résultat des actes reprochés n’est pas non plus anodin compte tenu du bien juridique protégé, à savoir l'honneur d'une personne tenue pour méprisable auprès d'un public cible ou des autorités judiciaires appelées à traiter de causes similaires. Il ne peut dès lors être admis que tant la culpabilité que les conséquences des actes de l'appelant sont peu importantes, au point qu’il puisse bénéficier d’une exemption de peine. Exempter l’appelant de toute sanction reviendrait à vider l'art. 174 CP de son sens. 3.1 La fixation de la peine intervient en deux phases différentes. Le tribunal détermine d'abord le nombre des jours-amende en fonction de la culpabilité de l'auteur (art. 34 al. 1 CP).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 ) ne se confond pas avec une simple amende (ATF 134 IV 1 consid. 5 et 6 p. 9 et 15 ; arrêt du Tribunal fédéral 6B_541/2007 du 13 mai 2008 consid. 5 et 6). 3.1.1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3.1.2 La durée de la peine pécuniaire doit en l'espèce être réduite pour tenir compte d'une culpabilité légèrement moindre. L'absence de tout antécédent est prise en considération, au sens que lui donne la jurisprudence (ATF 136 IV 1 consid. 2.6.4 p. 3). Il faut convenir ainsi que 20 jours-amende représentent une sanction adéquate par rapport au comportement fautif de l'appelant, l'intensité de sa faute n'étant pas négligeable. Dès lors que les circonstances atténuantes sollicitées ont été écartées, rien ne permet de conclure à une peine excessive du Tribunal pénal ou non adaptée à la faute de l'auteur. 3.2.1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 Le montant du jour-amende ne peut être inférieur à CHF 10.- (ATF 135 IV 180 consid. 1.4.2 p. 185)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 ) La situation financière concrète est toujours déterminante (arrêt du Tribunal fédéral 6B_541/2007 du 13 mai 2008 consid. 6.4.5). 3.2.2 La situation financière réelle de l'appelant n'est pas évidente à cerner. A l'entendre, ses charges seraient quasi équivalentes à ses revenus, sans même tenir compte des normes légales liées aux frais d'entretien de la famille. Cela étant, le premier juge a fixé le jour-amende à CHF 30.- l'unité, sans aucune justification. Quelle que soit la capacité contributive réelle de l'appelant, il n'est guère douteux que son train de vie est modeste et qu'il ne peut compter que sur des revenus limités. Dans ces conditions, il y a lieu de considérer la quotité fixée par le tribunal de première instance comme excessive et de la fixer au minimum fixé par la jurisprudence. Le jugement du Tribunal de police sera modifié en conséquence.</w:t>
      </w:r>
    </w:p>
    <w:p>
      <w:r>
        <w:rPr>
          <w:b/>
        </w:rPr>
        <w:t>E. 4</w:t>
      </w:r>
    </w:p>
    <w:p>
      <w:r>
        <w:t>4.1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 Bâle 2011, n. 12 ad art. 433 CPP ; N. SCHMID, Schweizerische Strafprozessordnung, Praxiskommentar , 2 e éd. Zürich 2013, n. 9 et 10 ad art. 433 CPP; A. KUHN / Y. JEANNERET (éds), Commentaire romand : Code de procédure pénale suisse , Bâle 2011, n. 13 ad . art. 433).</w:t>
      </w:r>
    </w:p>
    <w:p>
      <w:r>
        <w:rPr>
          <w:b/>
        </w:rPr>
        <w:t>E. 4.2</w:t>
      </w:r>
    </w:p>
    <w:p>
      <w:r>
        <w:t>L'intimé a produit une note d'honoraires totalisant un peu plus de CHF 12'000.– à laquelle un time-sheet détaillé est joint. Les quelques 30 heures d'activité, dont plus de la moitié par un avocat-stagiaire, doivent être tenues pour adaptées au regard des particularités du cas d'espèce. Il convient toutefois de tenir compte du fait que la partie plaignante n'obtient que partiellement gain de cause sur le volet pénal de la procédure. Le montant des honoraires sera ainsi ramené, calculé en chiffre rond, à CHF 9'000.–, soit les trois quarts du montant initial des honoraires, auquel il y a lieu d'ajouter la TVA de 8%, ce qui fait un total de CHF 9'720.–.</w:t>
      </w:r>
    </w:p>
    <w:p>
      <w:r>
        <w:rPr>
          <w:b/>
        </w:rPr>
        <w:t>E. 5</w:t>
      </w:r>
    </w:p>
    <w:p>
      <w:r>
        <w:t>L'appelant, qui succombe pour l'essentiel, supportera les frais de la procédure envers l'État à raison de 4/5 èmes (art. 428 CPP), lesquels comprennent une indemnité de CHF 2'000.- (art. 14 al. 1 let. e du règlement fixant le tarif des frais en matière pénale,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