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P/11345/2011 vom 21. November 2014</w:t>
      </w:r>
    </w:p>
    <w:p>
      <w:r>
        <w:t>GE Cour de justice, 2014-11-21, FR</w:t>
      </w:r>
    </w:p>
    <w:p>
      <w:r>
        <w:rPr>
          <w:b/>
        </w:rPr>
        <w:t xml:space="preserve">Quelle: </w:t>
      </w:r>
      <w:r>
        <w:t>https://mcp.opencaselaw.ch/entscheid/ge_gerichte_P_11345_2011</w:t>
      </w:r>
    </w:p>
    <w:p>
      <w:r>
        <w:t>FR: GE_GERICHTE P/11345/2011 du 21 novembre 2014</w:t>
      </w:r>
    </w:p>
    <w:p>
      <w:r>
        <w:t>IT: GE_GERICHTE P/11345/2011 del 21 novembre 2014</w:t>
      </w:r>
    </w:p>
    <w:p>
      <w:pPr>
        <w:pStyle w:val="Heading2"/>
      </w:pPr>
      <w:r>
        <w:t>Regeste</w:t>
      </w:r>
    </w:p>
    <w:p>
      <w:r>
        <w:t>LÉSION CORPORELLE; LÉSION CORPORELLE GRAVE; INJURE; MENACE(DROIT PÉNAL); FIXATION DE LA PEINE | CP.123; CP.177; CP.180; CP.47; CP.49</w:t>
      </w:r>
    </w:p>
    <w:p>
      <w:pPr>
        <w:pStyle w:val="Heading2"/>
      </w:pPr>
      <w:r>
        <w:t>Erwägungen</w:t>
      </w:r>
    </w:p>
    <w:p>
      <w:r>
        <w:rPr>
          <w:b/>
        </w:rPr>
        <w:t>E. 2</w:t>
      </w:r>
    </w:p>
    <w:p>
      <w:r>
        <w:t>7.1.1. Les faits sont principalement établis par les déclarations de C______, lesquelles s’opposent, en partie, à celles de l'appelant. C______ a été précise et constante dans son récit. Ses déclarations subséquentes ont confirmé la version des faits telle que décrite dans sa plainte pénale, sans contradiction ni incohérence. Les déclarations des agents de police B______ et E______ en charge de l'intervention du 6 août 2011 ont corroboré le récit de la victime, lui donnant du crédit. Les agents ont, en outre, constaté la présence d'un hématome sur le visage de C______, confirmée dans un certificat médical. Les lésions corporelles subies lors des deux précédents épisodes de violences en 2009 et 2010 ont également été attestées par des médecins. D'autres éléments confirment que le couple traversait une période de crise. C______ a été suivie par l'association F______ en 2011 et 2012, étant précisé qu’elle avait déjà sollicité un soutien téléphonique le 29 septembre 2010. Elle avait également fait appel aux forces de l'ordre le 4 mai 2011 pour des faits similaires. Pour sa part, l'appelant n'a fourni aucune explication plausible au sujet des faits de 2009 et 2010. S'il a affirmé, devant le Procureur le 16 septembre 2011, s'être trouvé à ______ en septembre 2009, il n'a ni répété ni documenté ensuite cette allégation. Il a contesté les violences de 2011, expliquant, d'une part qu'un certain D______ était présent dans l'appartement à ce moment-là, laissant sous-entendre qu'il aurait violenté C______, et d'autre part que son épouse avait menti pour récupérer l'appartement. Or, cette dernière a déclaré que son mari n'avait jamais rencontré D______, qui n'était pas dans l'appartement ce soir-là. La version de l'appelant n'a pas été démontrée et aucun élément du dossier ne plaide dans son sens. Dans cette mesure, ses dénégations et explications n'emportent pas conviction. C'est donc à raison que le premier juge s'est basé sur la version des faits de C______, laquelle était claire, crédible, constante, documentée et attestée par deux agents de police (pour ce qui est des faits de 2011). On précisera que le retrait de plainte, dont l'appelant fait grand cas, ne saurait être pris en compte dans l'appréciation des faits de la cause et n'a pas d'effet sur la poursuite des infractions de lésions corporelles et de menaces, laquelle a lieu d'office lorsque la victime est le conjoint de l'auteur et que les faits se produisent pendant le mariage. 2.7.1.2. Il est ainsi établi que le 6 août 2011 dans l'appartement sis ______ – ancien domicile conjugal de C______ et de l'appelant, que ce dernier aurait dû quitter le 10 février 2011 – celui-ci a porté un coup de poing à l'œil gauche de C______, lui causant un hématome à l’arcade sourcilière gauche de 2 cm de diamètre en sus de plusieurs douleurs dorsales. Le 28 septembre 2009, A______ a frappé son épouse sur le flanc droit, à coups de poings, occasionnant une douleur attestée par un certificat médical du 29 septembre 2009. Selon le rapport d'un médecin-radiologue daté du 6 octobre 2009, la douleur ressentie était probablement en lien avec une voussure palpable qui pouvait être due à une lésion cartilagineuse. Le 29 septembre 2010, l'appelant lui a donné une violente gifle, qui, selon le certificat médical du 30 septembre 2010, a occasionné une douleur à l'hémi-face gauche avec un discret hématome à la base du cou. Les hématomes et autres douleurs affectant C______, consécutifs aux coups portés par l'appelant, sont des lésions du corps humain selon la jurisprudence. Au vu du rapport d'expertise et des déclarations de son épouse, l'appelant lui a infligés les coups avec conscience et volonté. A raison, le premier juge a reconnu l'appelant coupable du chef de lésions corporelles simples aggravées au sens de l’art. 123 ch. 1 et 2 al. 4 CP. Le jugement entrepris sera donc confirmé sur ce point. 2.7.1.3. S'agissant de l'infraction de menaces, les propos tenus à l'endroit de C______ – « je vais te massacrer » et « si tu appelles la police, tu auras les deux bras cassés avant qu'ils arrivent » –, accompagnés de gestes agressifs, présentaient une gravité suffisante pour alarmer ou effrayer la précitée. En effet, ces menaces s'inscrivaient dans un contexte de tensions conjugales, l'appelant étant violent sur le plan physique et psychique, depuis 2008. La seconde menace ne pouvait qu'effrayer plus intensément la victime, cette dernière venant de recevoir un coup de poing au visage. En témoignent l'alerte donnée à la police et les déclarations des agents dépêchés sur les lieux, qui l'ont retrouvé en pleurs sur le trottoir en bas de l'immeuble. Par conséquent, il n'y a pas lieu de douter que C______ a été effrayée par les propos et les gestes de l'appelant. Sur le plan subjectif, A______ n’a pu qu’avoir l’intention de faire peur à son épouse en proférant de telles menaces. Par conséquent, le premier juge a, à juste titre, reconnu l'appelant coupable du chef de menaces au sens de l’art. 180 al. 1 et 2 let. a CP. Le jugement entrepris sera donc confirmé sur ce point. 2.7.2. S'agissant de l'infraction d'injure, la partie plaignante B______ a déclaré, dans sa plainte pénale et de manière constante pendant l'instruction, que l'appelant, lors de son arrestation le 6 août 2011, l'avait traité d' « abruti », de « connard » et lui avait dit qu'il était « con comme un balai », l'autre agent intervenant a pu attester de ces faits. Le risque de collusion doit être exclu, étant relevé qu'il s'agit du témoignage d'un policier assermenté. Les contradictions soulevées par l'appelant portent sur des éléments dépourvus d'incidence – soit notamment la place respective des agents dans le véhicule lors du transport de l'appelant au poste de police de ______ – alors que les faits qui lui sont reprochés font l'objet de déclarations concordantes des agents. L'appelant a reconnu avoir traité la partie plaignante B______ d' « abruti », tout en contestant avoir tenu les autres propos, précisant que son comportement était une réaction aux provocations de l'intéressé, qui l'avait, selon ses dires, insulté, exhibé longuement sur le trottoir menottes aux poignets et le regardait d'un air provocant et méchant. Cette version des faits ne résiste pas aux déclarations contraires des policiers et de C______, et n'est, au demeurant, attestée par aucun élément du dossier. Par conséquent, les explications et dénégations de l'appelant n'emportent pas conviction. Les termes proférés de manière intentionnelle par l'appelant à l'endroit de la partie plaignante B______ constituent à l’évidence des marques de mépris, propres à ternir l'honneur et entrent sans conteste dans la définition de l'injure (art. 177 al. 1 CP ; cf. arrêt du Tribunal fédéral 6B_602/2009 du 29 septembre 2009 c.2.3), sans qu'une exemption de peine n'entre en ligne de compte (art. 177 al. 2 CP). Le verdict de culpabilité prononcé par le premier juge sera confirmé.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3.2. 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3.4.1. En l'espèce, la faute de l'appelant à l'égard de son épouse est lourde. Par ses actes, il s'en est pris à son intégrité physique, mais également psychique. Les violences et pressions se sont déroulées sur une période d'au moins deux ans, à réitérées reprises. Le comportement de l’auteur s’est progressivement aggravé ; les derniers coups de poing portés étant dirigés contre le visage de la victime. L’appelant a instauré au sein du couple un climat de terreur ; lors du dernier épisode de violence, son épouse n'a eu d'autres choix que de faire appel à la police. S'agissant de ses actes à l'égard de l'agent de police, sa faute n'est pas négligeable. Il a proféré des insultes à son endroit de manière injustifiée et gratuite, la partie plaignante ne faisant qu'accomplir son devoir, adoptant un comportement conforme à la procédure. Les mobiles de l'appelant sont probablement inexistants ou, à tout le moins, futiles, ce dernier ayant agi par excès de violence dus à son caractère impulsif et colérique qu'il peine à maîtriser. Sa collaboration à la procédure a été mauvaise. Il a adopté un comportement outrageant lors de plusieurs audiences, provoquant parfois une interruption ou un report ; à cela s'ajoutent les multiples changements de défenseur nommé d'office ; six au total, en raison de rupture systématique du lien de confiance. Pendant toute la procédure, il a nié presque l'intégralité des faits reprochés même confronté à l’évidence, tout en rejetant la faute sur les parties plaignantes ou un tiers. Il n'a absolument pas pris conscience de la gravité de ses actes et ne semble éprouver aucun repentir, ni même de la compassion pour son épouse. La situation personnelle de A______, bien que délicate en raison de ses troubles psychologiques, de sa consommation de cocaïne et de l'absence d'opportunités professionnelles, ne saurait excuser ses agissements. A teneur de l'expertise, la responsabilité de l'appelant était pleine et entière. Il a un antécédent du même genre, illustrant son comportement violent à l'égard des tierces personnes en cas de contrariétés. Il y a concours d'infractions. Le sursis et la durée du délai d'épreuve accordés par le premier juge sont justifiés et, bien que cléments, sont acquis à l'appelant, tout comme la renonciation à révoquer le précédent sursis (art. 391 al. 2 CPP, art. 46 al. 2 CP). Au regard des éléments susmentionnés, la peine pécuniaire de 160 jours-amende, à CHF 30.- l'unité, sous déduction de 151 jours de détention avant jugement, est adéquate et correspond à la faute de A______, de sorte qu’elle sera confirmée. Rien ne permet de retenir qu'elle a été fixée dans le seul but de couvrir la durée de la détention provisoire. 4) 4.1. Compte tenu de l’issue de la procédure d’appel, les conclusions formulées par l'appelant à titre de réparation du tort moral subi pour détention injustifiée sont rejetées (art. 429 al. 1 let. c a contrario CPP).![endif]&gt;![if&gt; 4.2. La détention provisoire d'une durée de 151 jours subie par l'appelant étant licite – sous l'angle des règles de procédure pénale et du principe de la proportionnalité (art. 212 al. 3 CPP) –, il n'y a pas lieu de lui allouer une indemnité sur la base de l'art. 431 al. 1 CPP. 5) L'appelant qui succombe, supportera les frais de la procédure d'appel, qui comprennent un émolument de jugement de CHF 1'500.- (art. 428 al. 1 CPP et 14 al. 1 let. e du Règlement fixant le tarif des frais en matière pénale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