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P/11310/2019 vom 6. Mai 2020</w:t>
      </w:r>
    </w:p>
    <w:p>
      <w:r>
        <w:t>GE Cour de justice, 2020-05-06, FR</w:t>
      </w:r>
    </w:p>
    <w:p>
      <w:r>
        <w:rPr>
          <w:b/>
        </w:rPr>
        <w:t xml:space="preserve">Quelle: </w:t>
      </w:r>
      <w:r>
        <w:t>https://mcp.opencaselaw.ch/entscheid/ge_gerichte_P_11310_2019</w:t>
      </w:r>
    </w:p>
    <w:p>
      <w:r>
        <w:t>FR: GE_GERICHTE P/11310/2019 du 6 mai 2020</w:t>
      </w:r>
    </w:p>
    <w:p>
      <w:r>
        <w:t>IT: GE_GERICHTE P/11310/2019 del 6 maggio 2020</w:t>
      </w:r>
    </w:p>
    <w:p>
      <w:pPr>
        <w:pStyle w:val="Heading2"/>
      </w:pPr>
      <w:r>
        <w:t>Regeste</w:t>
      </w:r>
    </w:p>
    <w:p>
      <w:r>
        <w:t>CLASSEMENT DE LA PROCÉDURE;FRAIS DE LA PROCÉDURE;INDEMNITÉ(EN GÉNÉRAL);PRÉVENU</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2.1</w:t>
      </w:r>
    </w:p>
    <w:p>
      <w:r>
        <w:t>Aux termes de l'art. 429 al. 1 let. a CPP, le prévenu, acquitté totalement ou en partie ou qui bénéficie d'une ordonnance de classement, a droit à une indemnité pour les dépenses occasionnées par l'exercice raisonnable de ses droits de procédure (let a CPP).</w:t>
      </w:r>
    </w:p>
    <w:p>
      <w:r>
        <w:rPr>
          <w:b/>
        </w:rPr>
        <w:t>E. 2.2</w:t>
      </w:r>
    </w:p>
    <w:p>
      <w:r>
        <w:t>En vertu de l'art. 430 al. 1 let. a CPP, l'autorité pénale peut réduire ou refuser l'indemnité pour les dépenses occasionnées par l'exercice raisonnable de ses droits de procédure ou la réparation du tort moral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arrêts du Tribunal fédéral 6B_548/2018 du 18 juillet 2018 consid. 1.1.2 ; 6B_385/2017 du 5 décembre 2017 consid. 2.1).</w:t>
      </w:r>
    </w:p>
    <w:p>
      <w:r>
        <w:rPr>
          <w:b/>
        </w:rPr>
        <w:t>E. 2.3</w:t>
      </w:r>
    </w:p>
    <w:p>
      <w:r>
        <w:t>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119 Ia 332 consid. 1b ; 116 Ia 162 consid.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précité; arrêt du Tribunal fédéral 6B_301/2017 précité consid. 1.1).</w:t>
      </w:r>
    </w:p>
    <w:p>
      <w:r>
        <w:rPr>
          <w:b/>
        </w:rPr>
        <w:t>E. 2.4</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du Tribunal fédéral 6B_429/2017 du 14 février 2018 consid. 5.1 et 6B_385/2017 du 5 décembre 2017 consid. 2.3). La mise des frais à la charge du prévenu en cas d'acquittement ou de classement de la procédure doit en effet rester l'exception (ATF 144 IV 202 consid. 2.2; 116 Ia 162 consid. 2c).</w:t>
      </w:r>
    </w:p>
    <w:p>
      <w:r>
        <w:rPr>
          <w:b/>
        </w:rPr>
        <w:t>E. 2.5</w:t>
      </w:r>
    </w:p>
    <w:p>
      <w:r>
        <w:t>En l'espèce, le Ministère public disposait de toutes les informations nécessaires, dès avant l'ouverture de l'instruction, pour trancher la question de la validité de la plainte. Il pouvait et devait alors constater immédiatement que celle-ci n'était pas valable et qu'il convenait de ne pas entrer en matière. C'est donc par le fait du Procureur que la procédure a été ouverte. Certes, le comportement dénoncé a porté atteinte au droit de la propriété d'autrui. Toutefois les frais de la procédure pénale ont été exposés uniquement du fait de la précipitation du Ministère public. Les normes invoquées par celui-ci ne statuent aucune règle en lien de causalité avec les faits reprochés. Dans ces circonstances, les frais doivent être laissés à la charge de l'État et l'application de l'art. 430 al. 1 let. a CPP ne se justifie pas.</w:t>
      </w:r>
    </w:p>
    <w:p>
      <w:r>
        <w:rPr>
          <w:b/>
        </w:rPr>
        <w:t>E. 3.1</w:t>
      </w:r>
    </w:p>
    <w:p>
      <w:r>
        <w:t>L'indemnité visée à l'art. 429 al. 1 let. a CPP concerne les dépenses du prévenu pour un avocat de choix (ATF 138 IV 205 consid. 1).</w:t>
      </w:r>
    </w:p>
    <w:p>
      <w:r>
        <w:rPr>
          <w:b/>
        </w:rPr>
        <w:t>E. 3.2</w:t>
      </w:r>
    </w:p>
    <w:p>
      <w:r>
        <w:t>Pour prétendre à l'indemnité à cette indemnité encore faut-il que l'assistance d'un avocat ait été nécessaire, compte tenu de la complexité de l'affaire en fait ou en droit, et que le volume de travail de l'avocat était ainsi justifié (Message relatif à l'unification du droit de procédure pénale (CPP) du 21 décembre 2005, FF 2006 1309).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 arrêt du Tribunal fédéral 6B_387/2013 du 8 juillet 2013 consid. 2.1 non publié aux ATF 139 IV 241 ).</w:t>
      </w:r>
    </w:p>
    <w:p>
      <w:r>
        <w:rPr>
          <w:b/>
        </w:rPr>
        <w:t>E. 3.3</w:t>
      </w:r>
    </w:p>
    <w:p>
      <w:r>
        <w:t>L'indemnité couvre en particulier les honoraires de ce conseil, à condition que le recours à celui-ci procède d'un exercice raisonnable des droits de procédure.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proportionnée à la difficulté et à l'importance de la cause, c'est-à-dire raisonnable au sens de la loi ( ACPR/140/2013 du 12 avril 2013).</w:t>
      </w:r>
    </w:p>
    <w:p>
      <w:r>
        <w:rPr>
          <w:b/>
        </w:rPr>
        <w:t>E. 4</w:t>
      </w:r>
    </w:p>
    <w:p>
      <w:r>
        <w:t>Fondé, le recours doit être admis ; partant, les ch. 2 et 3 du dispositif de l'ordonnance querellée seront annulés, les frais de la procédure laissés à la charge de l'État et la recourante mis au bénédice d'une indemnité de CHF 1'741.10 TTC pour ses frais de défense en première instance.</w:t>
      </w:r>
    </w:p>
    <w:p>
      <w:r>
        <w:rPr>
          <w:b/>
        </w:rPr>
        <w:t>E. 5</w:t>
      </w:r>
    </w:p>
    <w:p>
      <w:r>
        <w:t>L'admission du recours ne donne pas lieu à la perception de frais (art. 428 al. 1 CPP).</w:t>
      </w:r>
    </w:p>
    <w:p>
      <w:r>
        <w:rPr>
          <w:b/>
        </w:rPr>
        <w:t>E. 6.1</w:t>
      </w:r>
    </w:p>
    <w:p>
      <w:r>
        <w:t>La recourante, qui obtient gain de cause, a droit à une indemnité pour ses frais de recours, aux mêmes conditions que celles rappelées ci-dessus.</w:t>
      </w:r>
    </w:p>
    <w:p>
      <w:r>
        <w:rPr>
          <w:b/>
        </w:rPr>
        <w:t>E. 6.2</w:t>
      </w:r>
    </w:p>
    <w:p>
      <w:r>
        <w:t>La Cour de justice applique au chef d'étude un tarif horaire de CHF 450.- (arrêt du Tribunal fédéral 2C_725/2010 du 31 octobre 2011 = SJ 2012 I 172 ; ACPR/279/2014 du 27 mai 2014).</w:t>
      </w:r>
    </w:p>
    <w:p>
      <w:r>
        <w:rPr>
          <w:b/>
        </w:rPr>
        <w:t>E. 6.3</w:t>
      </w:r>
    </w:p>
    <w:p>
      <w:r>
        <w:t>Le taux d'activité facturé pour la procédure de recours excède ce qui était nécessaire pour l'exercice raisonnable des droits de procédure de la recourante, notamment au regard du temps consacré à la consultation du dossier et de la discussion juridique de l'écriture de recours, qui ne tient que sur 1 page et demi. En outre, s'agissant de la réplique rédigée postérieurement, non prise en compte dans la note d'honoraires, elle consiste en moins d'une page et reprend sur le fond un argument développé dans le recours. Ainsi, une équitable indemnité de CHF 969.30 TVA à 7.7 % incluse, sera allouée pour l'ensemble de la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