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P/11309/2022 vom 9. Juni 2022</w:t>
      </w:r>
    </w:p>
    <w:p>
      <w:r>
        <w:t>GE Cour de justice, 2022-06-09, FR</w:t>
      </w:r>
    </w:p>
    <w:p>
      <w:r>
        <w:rPr>
          <w:b/>
        </w:rPr>
        <w:t xml:space="preserve">Quelle: </w:t>
      </w:r>
      <w:r>
        <w:t>https://mcp.opencaselaw.ch/entscheid/ge_gerichte_P_11309_2022</w:t>
      </w:r>
    </w:p>
    <w:p>
      <w:r>
        <w:t>FR: GE_GERICHTE P/11309/2022 du 9 juin 2022</w:t>
      </w:r>
    </w:p>
    <w:p>
      <w:r>
        <w:t>IT: GE_GERICHTE P/11309/2022 del 9 giugno 2022</w:t>
      </w:r>
    </w:p>
    <w:p>
      <w:pPr>
        <w:pStyle w:val="Heading2"/>
      </w:pPr>
      <w:r>
        <w:t>Regeste</w:t>
      </w:r>
    </w:p>
    <w:p>
      <w:r>
        <w:t>DÉTENTION PROVISOIRE;RISQUE DE COLLUSION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conclut au constat du non-respect du délai fixé par l'art. 219 al. 4 CPP.![endif]&gt;![if&gt;</w:t>
      </w:r>
    </w:p>
    <w:p>
      <w:r>
        <w:rPr>
          <w:b/>
        </w:rPr>
        <w:t>E. 2.1</w:t>
      </w:r>
    </w:p>
    <w:p>
      <w:r>
        <w:t>Selon l'art. 219 al. 4 CPP, la personne arrêtée provisoirement est libérée ou amenée devant le ministère public au plus tard après 24 heures; si l'arrestation provisoire a fait suite à une appréhension, la durée de celle-ci est déduite des 24 heures. L'art. 224 al. 2 CPP prévoit ensuite que si les soupçons et les motifs de détention sont confirmés, le ministère public propose au tribunal des mesures de contrainte, sans retard mais au plus tard dans les 48 heures à compter de l'arrestation, d'ordonner la détention provisoire ou une mesure de substitution. En application de l'art. 226 al. 1 CPP, le tribunal des mesures de contrainte statue immédiatement, mais au plus tard dans les 48 heures suivant la réception de la demande.</w:t>
      </w:r>
    </w:p>
    <w:p>
      <w:r>
        <w:rPr>
          <w:b/>
        </w:rPr>
        <w:t>E. 2.2</w:t>
      </w:r>
    </w:p>
    <w:p>
      <w:r>
        <w:t>Ces délais légaux ont pour but de concrétiser les exigences constitutionnelles et conventionnelles des art. 31 Cst. et 5 ch. 3 CEDH. Il ne s'agit pas de simples délais d'ordre dont le prévenu ne peut, généralement, rien en déduire en sa faveur en cas de dépassement. Seul est toutefois déterminant pour le prévenu le laps de temps entre l'arrestation et la décision de mise en détention. La façon dont les différentes étapes de la procédure se sont déroulées dans le temps avant la décision de mise en détention est en effet de moindre importance pour lui. Il en va notamment ainsi du délai de l'art. 224 al. 2 CPP, qui est adressé en premier lieu au ministère public et qui vise à donner suffisamment de temps au juge de la détention pour examiner la cause. Ce délai concerne donc en priorité l'organisation interne des autorités de poursuite pénale, même s'il intéresse aussi le prévenu. Le maintien en détention ne devient dès lors pas nécessairement illégal si le délai de 48 heures de l'art. 224 al. 2 CPP n'est pas respecté, mais seulement si la décision du tribunal des mesures de contrainte n'intervient pas dans les 96 heures suivant l'arrestation (ATF 137 IV 92 consid. 3.2.1; ATF 137 IV 118 consid. 2.1). Les considérations qui précèdent valent aussi pour le délai de 24 heures prévu à l'art. 219 al. 4 CPP. Il est certes dans l'intérêt du prévenu que la police respecte ce délai, afin que l'audition par un magistrat intervienne le plus rapidement possible, mais le non-respect dudit délai ne constitue pas nécessairement une violation du principe de célérité susceptible de remettre en cause la légalité de la détention. Ce n'est en effet le cas que si la violation est particulièrement grave et qu'elle laisse craindre que l'autorité de poursuite ne soit plus en mesure de conduire la procédure à chef dans un délai raisonnable (ATF 128 I 149 consid. 2.2.1 p. 151 s.; cf. ATF 137 IV 92 consid. 3.1 et 3.2.1 et les références). Le principe de la célérité revêt en effet une importance particulière en matière de détention provisoire, de sorte que les délais maximaux prévus par le CPP doivent en principe être respectés et ne peuvent être épuisés que dans des cas exceptionnels et objectivement fondés (ATF 137 IV 118 consid. 2.1 in fine ).</w:t>
      </w:r>
    </w:p>
    <w:p>
      <w:r>
        <w:rPr>
          <w:b/>
        </w:rPr>
        <w:t>E. 2.3</w:t>
      </w:r>
    </w:p>
    <w:p>
      <w:r>
        <w:t>En l'espèce, le recourant s'est vu notifier le mandat d'amener le 7 juin 2022 à 16h05. Son audition par la police, commencée le 8 juin 2022 à 9h36, a pris fin à 10h15 et il a été mis à disposition du Ministère public, toujours le 8 juin 2022, à 10h40, soit quasiment dans la foulée. Quand bien même l'audition devant le Ministère public a commencé le 8 juin 2022 à 16h50, pour se terminer à 18h10, cette autorité a saisi le TMC d'une demande de mise en détention le même jour à 19h35, agissant ainsi dans le délai de 48 heures à compter de l'arrestation. Partant, on ne décèle aucune violation du principe de la célérité.</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3.2</w:t>
      </w:r>
    </w:p>
    <w:p>
      <w:r>
        <w:t>En l'espèce, le recourant ne conteste pas avoir fait usage d'un spray au poivre à l'encontre d'un membre d'une bande de motards rivale qui, selon ses dires, se serait dirigé vers lui dans le bar d'une manière menaçante. Il ne remet pas non plus en cause le fait qu'à l'occasion de l'altercation, plusieurs coups de feu ont été échangés entre deux protagonistes de chacune des deux bandes. Tant le recourant que son antagoniste de la bande rivale, H______, estiment s'être sentis menacés par l'autre et interprètent les images de la vidéosurveillance en leur faveur. Si ces dernières semblent montrer H______ entrer dans l'établissement puis faire volte-face en direction de la sortie avant d'y revenir, suivi d'un de ses "frères" des "E______" , ce qui corroborerait la thèse selon laquelle il voulait en découdre avec les "F______" , la thèse inverse selon laquelle ce seraient les "F______" qui attendaient les "E______" armes à la main dans une sorte de guet-apens n'est pas plus ou moins crédible à ce stade de l'enquête, qui n'en est qu'à ses débuts. L'audience de confrontation qui vient de se tenir ne permet pas de lever tout doute à cet égard. À cela s'ajoute que l'altercation a été très rapide – 22 secondes entre le début de la rixe et la fusillade, selon le rapport de renseignements de la police du 27 mai 2022 – et les caméras de surveillance n'ont pas pu saisir l'intégralité de la scène, comme le relève la police dans son rapport. Le moment exact où le recourant aurait fait usage de son spray au poivre doit encore être déterminé, vu les déclarations contradictoires des protagonistes. Partant, on ne saurait admettre à ce stade précoce de l'enquête que le recourant n'a pas provoqué l'altercation ou alimenté celle-ci d'une manière quelconque. C'est ainsi à bon droit que le TMC a retenu des charges suffisantes de rixe à l'endroit du recourant, étant relevé que la question d'une éventuelle légitime défense n'entre pas en ligne de compte à ce stade.</w:t>
      </w:r>
    </w:p>
    <w:p>
      <w:r>
        <w:rPr>
          <w:b/>
        </w:rPr>
        <w:t>E. 4</w:t>
      </w:r>
    </w:p>
    <w:p>
      <w:r>
        <w:t>Le recourant conteste le risque de collusion.</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l'occurrence, de nombreuses zones d'ombre entourent encore les circonstances de la fusillade du 22 mai 2022. L'altercation n'a pas seulement impliqué le prévenu, H______, G______ et I______, actuellement tous en détention, mais aussi d'autres tiers et/ou membres des "F______" et des "E______" que la police cherche à présent à identifier en vue de leur audition, cela afin de déterminer les rôles et responsabilités de chacun. Les circonstances en amont de l'altercation doivent également être élucidées, ce que les images de la vidéosurveillance ne permettent pas d'établir. Or, il existe un risque réel que le recourant, dorénavant nanti des charges pesant sur lui, ne compromette la recherche de la vérité en contactant des tiers témoins que lui seul connaît et dont il refuse de donner les noms ou exerce sur eux des pressions aux fins qu'ils corroborent sa thèse selon laquelle il n'aurait fait que se défendre. Son argument selon lequel il aurait eu seize jours pour contacter qui il voulait avant son interpellation tombe ainsi à faux, étant rappelé qu'il n'avait été entendu, le 22 mai 2022, qu'en qualité de personne appelée à donner des renseignements, autrement dit ignorait à ce moment les charges pesant contre lui. Aucune mesure de substitution ne saurait pallier ce risque et notamment pas une interdiction de contact. Telle mesure ne peut en principe porter que sur des personnes déterminées (arrêts 1B_485/2019 du 12 novembre 2019 consid. 3.4.2; 1B_121/2019 du 8 avril 2019 consid. 4.4), et apparaîtrait non seulement insuffisante, au vu des enjeux pour le prévenu, mais également difficilement contrôlable. Il en irait de même de l'interdiction d'utiliser tout ordinateur ou téléphone. Les autres mesures de substitution proposées par le prévenu devant le TMC – qu'il ne réitère au demeurant pas ici – n'entrent pas en ligne de compte en tant qu'elles visent à pallier le risque de fuite, non retenu.</w:t>
      </w:r>
    </w:p>
    <w:p>
      <w:r>
        <w:rPr>
          <w:b/>
        </w:rPr>
        <w:t>E. 5</w:t>
      </w:r>
    </w:p>
    <w:p>
      <w:r>
        <w:t>L'admission du risque de collusion dispense d'examiner si s'y ajoute le risque de réitération.</w:t>
      </w:r>
    </w:p>
    <w:p>
      <w:r>
        <w:rPr>
          <w:b/>
        </w:rPr>
        <w:t>E. 6</w:t>
      </w:r>
    </w:p>
    <w:p>
      <w:r>
        <w:t>La détention provisoire ordonnée jusqu'au 7 août 2022 demeure proportionnée à ce stade, eu égard aux soupçons pesant sur le recourant et à la peine concrètement encourue en cas de condamnation ainsi qu'aux actes d'enquête à effectuer.</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