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P/11307/2020 vom 22. September 2021</w:t>
      </w:r>
    </w:p>
    <w:p>
      <w:r>
        <w:t>GE Cour de justice, 2021-09-22, FR</w:t>
      </w:r>
    </w:p>
    <w:p>
      <w:r>
        <w:rPr>
          <w:b/>
        </w:rPr>
        <w:t xml:space="preserve">Quelle: </w:t>
      </w:r>
      <w:r>
        <w:t>https://mcp.opencaselaw.ch/entscheid/ge_gerichte_P_11307_2020</w:t>
      </w:r>
    </w:p>
    <w:p>
      <w:r>
        <w:t>FR: GE_GERICHTE P/11307/2020 du 22 septembre 2021</w:t>
      </w:r>
    </w:p>
    <w:p>
      <w:r>
        <w:t>IT: GE_GERICHTE P/11307/2020 del 22 settembre 2021</w:t>
      </w:r>
    </w:p>
    <w:p>
      <w:pPr>
        <w:pStyle w:val="Heading2"/>
      </w:pPr>
      <w:r>
        <w:t>Regeste</w:t>
      </w:r>
    </w:p>
    <w:p>
      <w:r>
        <w:t>LÉSION CORPORELLE GRAVE;TORT MORAL | CP.122; CP.66a; CO.47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Selon l'art. 139 CPP, les autorités pénales doivent mettre en œuvre tous les moyens de preuve licites. Il n’y a pas de numerus clausus des moyens de preuve acceptables (arrêt du Tribunal fédéral 6B_135/2018 du 22 mars 2019 consid. 3.5). L’art. 141 al. 2 CPP prévoit pour sa part que les preuves administrées de façon illicite ne sont pas exploitables. Les preuves recueillies illicitement par des particuliers peuvent être prises en considération pour autant qu'elles aient pu être obtenues légalement par les autorités pénales et qu'une pesée des intérêts justifie leur exploitation. En pareil cas, il appartient en principe au juge du fond de se prononcer sur le caractère exploitable de ces preuves (ATF 143 IV 270 consid. 7.6 p. 285 ; arrêts du Tribunal fédéral 1B_474/2017 du 8 novembre 2017 consid. 2.2 ; 1B_231/2017 du 17 août 2017 consid. 2.1 ; 1B_75/2017 du 16 août 2017 consid. 4.4 destiné à la publication). En l’espèce, l’appelant conteste la valeur probante des certificats émanant du thérapeute de l’intimé, au motif que ledit thérapeute ne serait pas habilité à poser un diagnostic. À teneur de l’art. 30 al. 2 let. a du règlement sur les professions de la santé, les psychologues inscrits n’ont effectivement pas le droit de formuler un diagnostic médical. Les certificats produits par le thérapeute de l’intimé ne formulent toutefois pas un diagnostic au sens strict du terme (lequel n’est d’ailleurs pas défini par la loi), et qui doit être compris comme le processus conduisant à l’identification précise d’une affection au sens de la classification internationale des maladies (CIM-10). Ces certificats relèvent en effet simplement les symptômes constatés par le thérapeute, ce qui entre pleinement dans leur mission définie à l’alinéa 1 de la même disposition, à savoir de traiter les états de souffrance et les troubles psychiques par des méthodes psychologiques. Il n’y a dès lors pas lieu d’écarter les certificats produits par l’intimé, qui sont pour le surplus soumis à la libre appréciation des preuves par la Cour de céans (art. 10 al. 2 CPP).</w:t>
      </w:r>
    </w:p>
    <w:p>
      <w:r>
        <w:rPr>
          <w:b/>
        </w:rPr>
        <w:t>E. 3.1</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La lésion grave peut ainsi revêtir la forme d’une défiguration grave et permanente. Tel est notamment le cas en présence d’une coupure s’étendant de la commissure des lèvres à l’oreille lorsque subsiste une cicatrice qui gêne durablement l’expression du visage, tout comme en cas de lésions manifestes de la peau subsistant plusieurs années après une opération ratée (A. MACALUSO / L. MOREILLON / N. QUELOZ (éds), Commentaire romand, Code pénal II, vol. II, Partie spéciale : art. 111-392 CP, Bâle 2017, n. 8 ad art. 122 CP). L'atteinte doit être permanente, c'est-à-dire durable et non limitée dans le temps; il n'est en revanche pas nécessaire que l'état soit définitivement incurable et que la victime n'ait aucun espoir de récupération (arrêt du Tribunal fédéral 6B_422/2019 du 5 juin 2019 consid. 5.1).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CPet celles de l'art. 123 CP(lésions corporelles simples).</w:t>
      </w:r>
    </w:p>
    <w:p>
      <w:r>
        <w:rPr>
          <w:b/>
        </w:rPr>
        <w:t>E. 3.2</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w:t>
      </w:r>
    </w:p>
    <w:p>
      <w:r>
        <w:rPr>
          <w:b/>
        </w:rPr>
        <w:t>E. 3.3</w:t>
      </w:r>
    </w:p>
    <w:p>
      <w:r>
        <w:t>. En l’espèce, il résulte des photographies versées à la procédure et des constatations médicales que l’appelant a causé à sa victime des cicatrices importantes et défigurantes. Les cicatrices sur la partie gauche du visage, notamment celle au niveau du front et celle entre l’œil et la bouche, modifient profondément l’expression du visage ; la troisième est effectivement moins frappante sur les images produites. La partie plaignante elle-même a de la peine à se regarder dans un miroir. Il ne fait aucun doute que ces cicatrices sont objectivement graves et défigurent la victime, modifiant de façon irréversible l’aspect de son visage, essentiel dans la communication et l’interaction avec autrui. Contrairement à ce que soutient l’appelant, ces cicatrices ne se confondent pas avec les traits du visage, puisqu’il n’y a aucune symétrie et que seul le côté gauche présente ces lésions. Il s’agit donc bel et bien de lésions graves au sens de l’art. 122 CP. C’est en vain que l’appelant se prévaut d’une provocation de la victime. Indépendamment d’éventuels propos inadéquats, dont il importe finalement peu de savoir s’ils ont été tenus ou pas, l’attitude de la victime sur les images filmées de la scène ne justifie en aucun cas une agression, puisqu’elle est tranquillement assise sur une chaise. C’est l’appelant qui se lève, qui s’empare d’un verre, qui le brise une première fois sur le visage de la partie plaignante puis lui assène un second coup très violent avec un tesson de verre alors que la victime cherche à se protéger et à le repousser. Les conditions d’une légitime défense, pour autant que ce soit ce que plaidait l’appelant en invoquant une provocation, ne sont à l’évidence pas remplies. Le verdict de culpabilité pour lésions corporelles graves doit dès lors être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l'exercice de son pouvoir d'appréciation, le juge doit respecter, en particulier, le principe d'égalité de traitement (art. 8 al. 1 de la Constitution fédérale suisse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4.2</w:t>
      </w:r>
    </w:p>
    <w:p>
      <w:r>
        <w:t>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en tenant là aussi compte de toutes les circonstances y relatives (ATF 144 IV 217 consid. 3.5 ; 144 IV 313 consid. 1.1.2)</w:t>
      </w:r>
    </w:p>
    <w:p>
      <w:r>
        <w:rPr>
          <w:b/>
        </w:rPr>
        <w:t>E. 4.3</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4.4</w:t>
      </w:r>
    </w:p>
    <w:p>
      <w:r>
        <w:t>Selon l'art. 48 lit. c CP, le juge peut atténuer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c.2a; 118 IV 233 c.2a). La colère produite par une provocation injuste ou une offense imméritée ne peut être admise que si ces dernières ont provoqué au plus profond de l'auteur une émotion intense et une réaction psychologique personnelle et spontanée (ATF 104 IV 232 c.1c). Le profond désarroi vise en revanche un état d'émotion qui mûrit progressivement pendant une longue période, qui couve pendant longtemps jusqu'à ce que l'auteur soit complètement désespéré et ne voie d'autre issue que d'agir ainsi qu'il le fait (ATF 119 IV 202 c.2a; 118 IV 233 c.2a). L'état d'émotion violente ou de profond désarroi doit être rendu excusable par les circonstances (ATF 119 IV 203 c.2a; 118 IV 233 c.2a). Le plus souvent, il est rendu excusable par le comportement blâmable de la victime à l'égard de l'auteur, mais il peut aussi l'être par le comportement d'un tiers ou par des circonstances objectives (ATF 119 IV 202 c.2a). N'importe quelles circonstances ne suffisent pas. Il doit s'agir de circonstances dramatiques, dues principalement à des causes échappant à la volonté de l'auteur et qui s'imposent à lui (ATF 119 IV 202 c.2a), lequel ne doit pas être responsable ou principalement responsable de la situation conflictuelle qui le provoque (ATF 118 IV 233 c.2b; 107 IV 103 c.2b/bb p. 106). Il doit par ailleurs s'agir de circonstances objectives, de sorte qu'il faut se demander si un tiers raisonnable, placé dans la même situation que l'auteur, se serait trouvé dans le même état (ATF 108 IV 99 c.3b; 107 IV 103 c.2b/bb p. 106).</w:t>
      </w:r>
    </w:p>
    <w:p>
      <w:r>
        <w:rPr>
          <w:b/>
        </w:rPr>
        <w:t>E. 4.5</w:t>
      </w:r>
    </w:p>
    <w:p>
      <w:r>
        <w:t>Le séjour illégal au sens de l'art. 115 al. 1 let. b LEI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p. 11).</w:t>
      </w:r>
    </w:p>
    <w:p>
      <w:r>
        <w:rPr>
          <w:b/>
        </w:rPr>
        <w:t>E. 4.6</w:t>
      </w:r>
    </w:p>
    <w:p>
      <w:r>
        <w:t>En l’espèce, la faute de l’appelant est lourde. Cédant à la colère et à l’énervement, il n’a pas hésité, pour des motifs futiles et dans le dessein manifeste de défigurer sa victime, à lui porter sciemment des coups au visage avec un morceau de verre tranchant. Les conditions d’application de l’atténuante de l’émotion violente ne sont pas réalisées. Même si la victime devait avoir proféré les paroles injurieuses rapportées par l’appelant, cela ne justifie en aucun cas une réaction d’une telle violence. Sa réaction n'est pas celle d'une personne raisonnable, mais une explosion de colère et de violence, hors de toute proportion avec la situation. Il lui incombait de se maîtriser, voire, si la présence de la victime l’insupportait (comme semble l’indiquer sa tentative antérieure de le faire interdire dans l’établissement), de s’asseoir ailleurs ou de quitter les lieux. Par ailleurs, nonobstant les engagements qu’il avait pris lors de sa libération conditionnelle en 2016, l’appelant a manifestement pris une décision consciente et volontaire de rester en Suisse, sans rien entreprendre pour quitter le pays et revenant ainsi sur sa décision antérieure. Son mobile est purement égoïste, relevant seulement de l’emportement colérique au détriment de l’intégrité physique d’autrui. Sa situation personnelle ne peut justifier de tels actes. Contrairement à ce qu'affirme l'appelant, sa collaboration est sans particularité, dans la mesure où il a minimisé les faits qu’il ne pouvait guère contester, la scène ayant été intégralement filmée. Il a pris partiellement conscience de la gravité de ses actes, acquiesçant sur le principe aux conclusions civiles mais s’opposant au montant de celles-ci. Il a exprimé des regrets, tout en persistant à blâmer la victime pour son geste. Par ailleurs il n’a rien entrepris depuis sa dernière libération conditionnelle, en mai 2016, pour quitter le pays, où il ne dispose d’aucun titre de séjour et vit d’expédients alors qu’il s’y était pourtant engagé. S’il a été empêché de quitter la Suisse pendant la période de pandémie, entre mi-mars 2020 et l’été 2021, en raison de la fermeture des frontières algériennes, il pouvait néanmoins poursuivre les démarches pour obtenir un laissez-passer ou autre document d’identité de son pays. De plus, tel n’est plus le cas aujourd’hui et n’était surtout pas le cas depuis ladite mise en liberté. L’infraction la plus grave est sans aucun doute celle de lésions corporelles graves, qui emporte à elle seule une peine de l’ordre de 18 à 24 mois. Il est ainsi superflu de fixer une peine additionnelle pour le séjour illégal, nonobstant le fait que l’appelant a manifestement renouvelé son intention délictuelle en lien avec cette infraction en restant en Suisse après sa libération conditionnelle en mars 2016, alors qu’il avait annoncé sa décision de quitter le pays, et encourt donc à nouveau une peine pour cette infraction. En effet, la peine prononcée par le premier juge doit être confirmée et ne peut pas être aggravée en vertu du principe de l’interdiction de la reformatio in peius (art. 391 al. 2 CPP). Pour le surplus, l’appelant ne conteste à raison pas l’amende infligée par le premier juge en lien avec la contravention à l’art. 19a LStup.</w:t>
      </w:r>
    </w:p>
    <w:p>
      <w:r>
        <w:rPr>
          <w:b/>
        </w:rPr>
        <w:t>E. 5</w:t>
      </w:r>
    </w:p>
    <w:p>
      <w:r>
        <w:t>5.1.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lésions corporelles graves (let. b).</w:t>
      </w:r>
    </w:p>
    <w:p>
      <w:r>
        <w:rPr>
          <w:b/>
        </w:rPr>
        <w:t>E. 5.2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5.3</w:t>
      </w:r>
    </w:p>
    <w:p>
      <w:r>
        <w:t>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Le signalement de l'expulsion dans le SIS - comme l'expulsion elle-même - n'est pas soumis au principe d'accusation.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et obligatoirement mentionner dans le dispositif du jugement pénal si le signalement doit être effectué ou s'il y est renoncé. Dans la procédure d'appel, l'interdiction de la reformatio in pejus n'est pas applicable au signalement de l'expulsion, du moins lorsque la question n'a pas été traitée dans la procédure de première instance (ATF 146 IV 172 consid. 3).</w:t>
      </w:r>
    </w:p>
    <w:p>
      <w:r>
        <w:rPr>
          <w:b/>
        </w:rPr>
        <w:t>E. 5.4</w:t>
      </w:r>
    </w:p>
    <w:p>
      <w:r>
        <w:t>En l'espèce, l'appelant, qui n’a aucun lien avec la Suisse, y réside illégalement et ne fait aucune démarche pour quitter le pays, profitant de sa situation d’algérien, ressortissant d’un pays qui ne collabore pas dans ce domaine, ne saurait se prévaloir d’un quelconque cas de rigueur. Par ailleurs, s’il dit vouloir faire sa vie ailleurs, aucun élément n'indique qu'il serait autorisé à séjourner dans un pays de l’espace Schengen. Rien ne l'empêche de concrétiser ses projets dans son pays natal, étant relevé qu’il peut tout aussi bien vivre en dehors de l’espace Schengen. Au vu des infractions commises, l'intérêt de la collectivité à son éloignement durable de l'espace Schengen prime sur son intérêt privé. Il y a donc lieu d’ordonner que l’expulsion prononcée soit signalée dans le SIS.</w:t>
      </w:r>
    </w:p>
    <w:p>
      <w:r>
        <w:rPr>
          <w:b/>
        </w:rPr>
        <w:t>E. 6</w:t>
      </w:r>
    </w:p>
    <w:p>
      <w:r>
        <w:t>6.1.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Bien que régi par les art. 122 ss CPP, le procès civil dans le procès pénal demeure soumis à la maxime des débats et à la maxime de disposition. L'art. 124 al. 3 CPP prescrit que si le prévenu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Le prévenu peut n'acquiescer que partiellement aux conclusions civiles. Le juge fera alors mention de l'acquiescement partiel au procès-verbal le cas échéant, tandis que, pour le surplus, il demeure tenu de trancher l'action civile jointe tout en étant lié dans la mesure de l'acquiescement.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Bâle 2011, n. 12 ss ad art. 124 CPP).</w:t>
      </w:r>
    </w:p>
    <w:p>
      <w:r>
        <w:rPr>
          <w:b/>
        </w:rPr>
        <w:t>E. 6.2</w:t>
      </w:r>
    </w:p>
    <w:p>
      <w:r>
        <w:t>En vertu de l'art. 47 de la loi fédérale complétant le Code civil suisse (CO), le juge peut, en tenant compte de circonstances particulières, allouer à la victime de lésions corporelles une indemnité équitable à titre de réparation morale. Cette indemnité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 2ème éd., 2011, p. 385 ; LANDOLT, op. cit. , n. 21 ss ad art. 47 CO). Le Tribunal fédéral admet qu’il soit procédé au calcul de l’indemnité de base en se fondant par analogie sur les dispositions d’application de la loi fédérale sur l'assurance-accidents (LAA), et en appliquant la proportion ainsi déterminée au montant maximal du salaire assuré selon cette législation, soit CHF 148’200.- (art. 22 de l’ordonnance sur l'assurance-accidents [OLAA] ; cf. BERGER, Die Genugtuung und ihre Bestimmung , in WEBER/MÜNCH [édit.], Haftung und Versicherung, 2ème éd. 2015, n 11.41 p. 512). Selon l’annexe 3 OLAA, la perte du pavillon d’une oreille représente une atteinte à l’intégrité de 10% ; la perte du nez ou le scalp une atteinte à l’intégrité de 30% ; une très grave défiguration constituant enfin une atteinte de 50%. Cette proportion sert, en droit des assurances sociales, à la détermination de l’indemnité en proportion du salaire assuré, notion qui n’est pas transposable en droit pénal, mais qui fournit néanmoins une indication pour la première phase de l’évaluation du tort moral fondé sur l’art. 47 CO.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w:t>
      </w:r>
    </w:p>
    <w:p>
      <w:r>
        <w:rPr>
          <w:b/>
        </w:rPr>
        <w:t>E. 6.3</w:t>
      </w:r>
    </w:p>
    <w:p>
      <w:r>
        <w:t>L'éventuelle faute concomitante de la victime peut conduire à une réduction de l'indemnité ; cela suppose cependant que le comportement reproché au lésé soit en rapport de causalité naturelle et adéquate avec la survenance du préjudice (ATF 130 III 591 consid. 5.3 ; 126 III 192 consid. 2d). Un fait est la cause naturelle d'un résultat s'il en constitue une condition sine qua non; en d'autres termes, il existe un lien de causalité naturelle entre deux événements lorsque, sans le premier, le second ne se serait pas produit (ATF 133 III 462 consid. 4.4.2 p. 470; 132 III 715 consid. 2.2 p. 718). Pour dire s'il y a causalité adéquate, il faut examiner si le fait en discussion était propre, selon le cours ordinaire des choses et l'expérience générale de la vie, à entraîner un résultat du genre de celui qui s'est produit (ATF 129 II 312 consid. 3.3 p. 318; 129 V 402 consid. 2.2 p. 405).</w:t>
      </w:r>
    </w:p>
    <w:p>
      <w:r>
        <w:rPr>
          <w:b/>
        </w:rPr>
        <w:t>E. 6.4</w:t>
      </w:r>
    </w:p>
    <w:p>
      <w:r>
        <w:t>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Une réduction de l'indemnité pour tort moral est exclue lorsque le bénéficiaire entretient des relations particulières avec la Suisse, par exemple lorsqu'il y travaille, y vit ou lorsqu'il peut y séjourner en tant que proche du lésé (ATF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Le Tribunal fédéral a admis une réduction, non schématique, de l'indemnité pour tort moral versée notamment en matière d’indemnisation des victimes d’infractions, lorsque les frais d'entretien au domicile de l'intéressé sont beaucoup plus bas. Ainsi, dans son arrêt ATF 125 II 554 consid. 4a p. 559, concernant des ressortissants de Voïvodine, où le pouvoir d'achat est 18 fois inférieur à la Suisse, la réduction a été fixée à la moitié. Par la suite, dans un arrêt 1A.299/2000 du 30 mai 2001 consid. 5c concernant la Bosnie Herzégovine, où le pouvoir d'achat est six à sept fois inférieur à la Suisse, la Haute Cour a considéré qu’une réduction de l'indemnité de 75%, certes élevée, demeurait néanmoins dans les limites du pouvoir d'appréciation de la cour cantonale. Concernant un ressortissant algérien, dans un arrêt 6B_242/2019 du 18 mars 2019 consid. 2.2. et 2.3a au sujet de l’indemnité pour tort moral en cas de détention injustifiée et compte tenu d’un coût de la vie environ 20 fois moins élevé qu'en Suisse, la Haute Cour a admis une réduction du montant journalier de 200.- à CHF 70.- soit une réduction de 65%.</w:t>
      </w:r>
    </w:p>
    <w:p>
      <w:r>
        <w:rPr>
          <w:b/>
        </w:rPr>
        <w:t>E. 6.5</w:t>
      </w:r>
    </w:p>
    <w:p>
      <w:r>
        <w:t>En l’espèce, il est curieux et vraisemblablement contraire à la maxime de disposition que l’appelant, par la voix de son Conseil, revienne sur son acquiescement de principe aux conclusions civiles. En tout état de cause, compte tenu du verdict prononcé, le principe d’une indemnisation est acquis à la partie plaignante, qui a subi une lésion défigurante et souffre encore des conséquences psychologiques de cette agression. Aucune faute concomitante ne peut lui être reprochée. En effet, même si, dans la version la plus favorable à l’appelant, il fallait retenir que le prévenu s’est fait insulter, il n’est pas dans le cours ordinaire des choses de subir une défiguration irréversible en réponse à des mots blessants ; il n’y a donc pas de lien de causalité adéquate entre le comportement imputé au lésé et les gestes de l’appelant. Compte tenu des éléments médicaux figurant au dossier et en l’absence d’expertise, la CPAR retient que la défiguration du lésé n’entre pas dans la catégorie « très grave » au sens de l’annexe 3 OLAA ; une indemnité à hauteur de 50% est clairement exagérée, et doit plutôt être arrêtée à 20 %, ce qui correspond à CHF 29’640.-. Ce montant doit néanmoins être réduit pour tenir compte de la relativement brève prise en charge médicale de la partie plaignante, et, surtout, de sa situation personnelle de ressortissant algérien, non admis à séjourner en Suisse et tenu de quitter le pays. Il n’y a dès lors pas lieu de lui accorder un montant disproportionné en fonction du pouvoir d’achat dans son pays, ce qui reviendrait à l’avantager indûment par rapport à un lésé résidant durablement et stablement en Suisse. Le montant susmentionné doit dès lors être ramené à CHF 8'000.-, somme qui apparaît adéquate compte tenu des séquelles psychiques persistantes de la partie plaignante. L’appel sera donc partiellement admis sur ce point.</w:t>
      </w:r>
    </w:p>
    <w:p>
      <w:r>
        <w:rPr>
          <w:b/>
        </w:rPr>
        <w:t>E. 7</w:t>
      </w:r>
    </w:p>
    <w:p>
      <w:r>
        <w:t>L'appelant, qui succombe pour l’essentiel dans son appel, supportera les trois-quarts des frais de la procédure envers l'État (art. 428 CPP). Le verdict de culpabilité et le principe de l’indemnisation de l’intimé étant confirmé, l’appelant supportera l’intégralité des frais de la procédure préliminaire, ainsi que la moitié de l’émolument complémentaire de jugement de première instance, le solde de cet émolument restant à la charge de l’Etat (art. 428 al. 3 CPP).</w:t>
      </w:r>
    </w:p>
    <w:p>
      <w:r>
        <w:rPr>
          <w:b/>
        </w:rPr>
        <w:t>E. 8.1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8.4</w:t>
      </w:r>
    </w:p>
    <w:p>
      <w:r>
        <w:t>En l'occurrence, les activités de réception et analyse du jugement motivé ainsi que la rédaction de la déclaration d’appel (qui n’a pas à être motivée) sont couvertes par la majoration forfaitaire. Elles seront donc écartées. La rémunération de M e B______ sera partant arrêtée à CHF 1'723.20 correspondant à 6h15 d'activité au tarif de CHF 200.-/heure plus la majoration forfaitaire de 20%, une vacation et l'équivalent de la TVA au taux de 7.7% en CHF 123.20.</w:t>
      </w:r>
    </w:p>
    <w:p>
      <w:r>
        <w:rPr>
          <w:b/>
        </w:rPr>
        <w:t>E. 8.5</w:t>
      </w:r>
    </w:p>
    <w:p>
      <w:r>
        <w:t>L’état de frais du conseil juridique gratuit de l’intimé sera ramené à la même durée, cet avocat ayant une bonne connaissance de la procédure, pour avoir assisté son mandant depuis le début de la procédure. Il ne commandait donc qu’une préparation réduite. La majoration forfaitaire sera de 10%, le nombre d’heures d’activité dépassant dorénavant 30. La rémunération de M e D______ sera partant arrêtée à CHF 1'588.60 correspondant à 6h15 d'activité au tarif de CHF 200.-/heure plus la majoration forfaitaire de 10%, une vacation et l'équivalent de la TVA au taux de 7.7% en CHF 113.60.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