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P/11281/2023 vom 24. Mai 2024</w:t>
      </w:r>
    </w:p>
    <w:p>
      <w:r>
        <w:t>GE Cour de justice, 2024-05-24, FR</w:t>
      </w:r>
    </w:p>
    <w:p>
      <w:r>
        <w:rPr>
          <w:b/>
        </w:rPr>
        <w:t xml:space="preserve">Quelle: </w:t>
      </w:r>
      <w:r>
        <w:t>https://mcp.opencaselaw.ch/entscheid/ge_gerichte_P_11281_2023</w:t>
      </w:r>
    </w:p>
    <w:p>
      <w:r>
        <w:t>FR: GE_GERICHTE P/11281/2023 du 24 mai 2024</w:t>
      </w:r>
    </w:p>
    <w:p>
      <w:r>
        <w:t>IT: GE_GERICHTE P/11281/2023 del 24 maggio 2024</w:t>
      </w:r>
    </w:p>
    <w:p>
      <w:pPr>
        <w:pStyle w:val="Heading2"/>
      </w:pPr>
      <w:r>
        <w:t>Regeste</w:t>
      </w:r>
    </w:p>
    <w:p>
      <w:r>
        <w:t>RUPTURE DE BAN;DISPOSITIONS PÉNALES DE LA LSTUP | CP.286; CP.291; LSTUP.19.leta.ch1</w:t>
      </w:r>
    </w:p>
    <w:p>
      <w:pPr>
        <w:pStyle w:val="Heading2"/>
      </w:pPr>
      <w:r>
        <w:t>Erwägungen</w:t>
      </w:r>
    </w:p>
    <w:p>
      <w:r>
        <w:rPr>
          <w:b/>
        </w:rPr>
        <w:t>E. 1</w:t>
      </w:r>
    </w:p>
    <w:p>
      <w:r>
        <w:t>1.1. L'appel est recevable pour avoir été interjeté et motivé selon la forme et dans les délais prescrits (art. 398 et 399 CPP).</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 présomption d'innocence, garantie par les art. 10 CPP, 32 al. 1 de la Constitution fédérale [Cst.], 14 par. 2 Pacte ONU II et 6 par. 2 de la convention de sauvegarde des droits de l'homme et des libertés fondamentales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w:t>
      </w:r>
    </w:p>
    <w:p>
      <w:r>
        <w:rPr>
          <w:b/>
        </w:rPr>
        <w:t>E. 2.2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 du Tribunal fédéral 6B_1143/2023 du 21 mars 2024 consid. 2.3)</w:t>
      </w:r>
    </w:p>
    <w:p>
      <w:r>
        <w:rPr>
          <w:b/>
        </w:rPr>
        <w:t>E. 2.3</w:t>
      </w:r>
    </w:p>
    <w:p>
      <w:r>
        <w:t>L'art. 6 par. 3 let.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témoins en doute et de les interroger, à quelque stade de la procédure que ce soit (ATF 140 IV 172 consid. 1.3 ; 133 I 33 consid. 3.1 ; 131 I 476 consid. 2.2). Il s'agit de l'un des aspects du droit à un procès équitable. En tant qu'elle concrétise le droit d'être entendu (art. 29 al. 2 Cst.), cette exigence est également garantie par l'art. 32 al. 2 Cst. (ATF 144 II 427 consid. 3.1.2 ; 131 I 476 consid. 2.2). Ce droit est absolu lorsque la déposition du témoin en cause est d'une importance décisive, notamment lorsqu'il est le seul témoin ou que sa déposition constitue une preuve essentielle (ATF 131 I 476 consid. 2.2 ; arrêt du Tribunal fédéral 6B_862/2021 du 21 juin 2022 consid. 1.1). 2.4.1. Quiconque contrevient à une décision d'expulsion du territoire de la Confédération ou d'un canton prononcée par une autorité compétente est passible d'une peine de droit (art. 291 al. 1 CP). 2.4.2. La rupture de ban suppose la réunion de trois conditions : une décision d'expulsion (notamment au sens des art. 66a et 66a bis CP), la transgression de celle-ci et l'intention. L'infraction est consommée si l'auteur reste en Suisse après l'entrée en force de la décision, alors qu'il a le devoir de partir ou s'il y entre pendant la durée de validité de l'expulsion (arrêt du Tribunal fédéral 6B_624/2021 du 23 mars 2022 consid. 1.1). La décision doit être " exécutoire ", ce qui n'est notamment pas le cas si, sous l'ancien droit, l'exécution était prononcée avec sursis (art. 41 aCP) ou si elle a été différée à titre d'essai (art. 55 al. 2 aCP) ou, s'agissant du nouveau droit, si elle est suspendue à la suite d'un recours (A. MACALUSO / L. MOREILLON / N. QUELOZ (éds), Commentaire romand, Code pénal II, vol. II, Partie spéciale : art. 111-392 CP, Bâle 2017, ad art. 291 N 4). 2.4.3. Sur le plan subjectif, l'infraction de rupture de ban est intentionnelle, le dol éventuel étant toutefois suffisant. Il faut non seulement que l'auteur entre ou reste en Suisse volontairement, mais encore qu'il sache qu'il est expulsé ou accepte cette éventualité (arrêt du Tribunal fédéral 6B_624/2021 du 23 mars 2022 consid. 1.1). 2.5.1. Celui qui aura empêché une autorité, un membre d'une autorité ou un fonctionnaire d'accomplir un acte entrant dans ses fonctions est passible d'une peine de droit (art. 286 al. 1 CP). 2.5.2. Les gendarmes accomplissent en principe leurs missions en uniforme (art. 10 al. 4 de la Loi genevoise sur la police [LPol]). L'uniforme sert de légitimation et, sauf exception prévue par règlement du Conseil d'État, comporte le numéro de matricule de celui qui le porte (art. 46 al. 1 LPol). Les membres autorisés du personnel de la police ont le droit d'exiger de toute personne qu'ils interpellent dans l’exercice de leur fonction qu'elle justifie de son identité (art. 47 al. 1 LPol).</w:t>
      </w:r>
    </w:p>
    <w:p>
      <w:r>
        <w:rPr>
          <w:b/>
        </w:rPr>
        <w:t>E. 2.6</w:t>
      </w:r>
    </w:p>
    <w:p>
      <w:r>
        <w:t>Quiconque, sans droit, consomme intentionnellement des stupéfiants ou commet une infraction à l'art. 19 LStup pour assurer sa propre consommation est passible d'une amende (art. 19a ch. 1 LStup). 2.7.1. L'appelant a été interpellé à Genève le 24 mai 2023, alors qu'il faisait l'objet d'une mesure d'expulsion qui déployait ses effets. Il en connaissait l'existence, ce qu'il ne conteste pas, ainsi que les enjeux pour avoir déjà été condamné après l'avoir transgressée (cf. B.c.a.). 2.7.2. La défense plaide que la décision d'expulsion n'était pas exécutoire, en ce sens que l'exécution de la peine privative de liberté prononcée ultérieurement dans le cadre de la procédure P/2______/2023 devait primer celle de la mesure, selon l'art. 66c al. 2 CP. En l'occurrence, l'expulsion fait l'objet d'un jugement définitif et exécutoire (art. 437 al. 2 CPP). Elle s'applique dès l'entrée en force de celui-ci (art. 66c al. 1 CP). Elle est donc effective depuis la libération conditionnelle de l'appelant, le 14 septembre 2022. Elle s'est concrétisée par le retour en France de l'appelant. Le prononcé, le 3 février 2023, d'une nouvelle peine privative de liberté de six mois n'a pas eu pour effet de suspendre le caractère exécutoire de l'expulsion, comme le suggère la défense. En entrant à nouveau sur le territoire suisse, le 24 mai 2023, l'appelant a bien contrevenu à la décision d'expulsion, les art. 66c al. 2 CPP et 12b O-CP-CPM ayant pour seule conséquence que les six mois doivent être purgés avant sa ré-expulsion, exécutable simultanément. Les éléments constitutifs objectifs de l'art. 291 CP sont ainsi réalisés. Subjectivement, l'appelant est revenu en Suisse pour acheter des cigarettes, de la méthadone et/ou se procurer des DORMICUM, tout en connaissant l'existence de cette mesure. Il a donc agi intentionnellement. Il n'est pas entré en Suisse, quoi qu'il en soit, pour se soumettre à l'ordre d'exécution du 8 mars 2023 – il ne le soutient pas. L'absence de souvenirs, feinte ou réelle, n'est pas décisive. Tout au plus influe-t-elle sur la responsabilité (art. 19 CP). Or celle-ci est présumée pleine et entière. Le dossier, les certificats du Dr. E______ en particulier, ne retiennent pas de raison sérieuse de douter de la responsabilité de l'appelant (art. 20 CP), ce que celui-ci ne discute d'ailleurs pas. 2.7.3. Au vu de ce qui précède, les faits tels que décrits au chiffre 1.1. de l'acte d'accusation sont établis et constitutifs de l'infraction de l'art. 291 CP. L'appel est rejeté sur ce point. Le jugement entrepris sera confirmé. 2.8.1. Contrairement à l'avis de la défense, aucun élément ne permet de s'écarter des constatations résumées dans le rapport d'arrestation du 24 mai 2023. Le document est certes succinct, mais relate de manière suffisamment précise les faits, soit que les agents ont voulu procéder au " contrôle " de l'appelant – acte entrant dans le cadre de leurs fonctions (art. 47 al. 1 LPol) – et qu'à leur vue, l'intéressé a pris la fuite en courant et a été neutralisé après que les agents ont dû faire usage de la force. Certes, l'appelant n'a pas été confronté aux auteurs dudit rapport mais cette mesure n'était en l'occurrence pas indispensable, dès lors qu'il a reconnu à tous les stades de la procédure avoir pris la fuite à la vue de la police (cf. notamment PP B-6 et C-3). Les prétendues lacunes relevées par la défense sont sans conséquence sur la valeur probante du document. Il n'était pas nécessaire de préciser que les gendarmes revêtaient leur uniforme. Ce dernier est, à rigueur de la loi, la tenue par défaut des policiers ainsi que le moyen de légitimation (art. 46 al. 1 LPol). L'appelant n'a jamais prétendu ne pas avoir reconnu les gendarmes ni que ces derniers n'avaient pas prononcé les sommations d'usage. Il en va de même de l'état de manque de l'appelant, dès lors qu'un renvoi express est fait au procès-verbal dans lequel le prévenu s'en plaint. Le lien de causalité entre l'usage de la force lors de l'arrestation et la blessure au front de l'appelant n'est pas établi. Le médecin n'a constaté une blessure au front de l'appelant que le lendemain de son arrestation, alors que vu son emplacement et sa taille, la lésion n'aurait pu lui avoir échappé la veille. L'appelant s'est plaint au plus tôt le 27 mai 2023 d'avoir fait l'objet de violences policières, sans être en mesure de livrer de détail sur le coup qu'il dit avoir reçu (cf. constat des HUG du 30 mai 2023). Il n'en a parlé lors d'aucune audition. L'appelant a renoncé à l'assistance d'un avocat par-devant la police, étant observé que les infractions n'entraient pas dans le cadre de l'art. 307 al. 1 CPP. Certes, la police a avisé le MP de l'arrestation avant d'auditionner le prévenu. Mais elle est tenue d'avertir " sans délai " le MP de toute arrestation (art. 219 al. 1 CPP), sans préjudice du fait qu'elle a entendu le prévenu au stade de l'investigation policière (art. 219 al. 2 CPP cum art. 159 CPP), et non sur délégation du MP (l'instruction n'ayant formellement été ouverte contre l'appelant que le lendemain de son interpellation [cf. PP C-1]). 2.8.2. Partant, les faits tels que décrits sous chiffre 1.2. de l'acte d'accusation sont établis et constitutifs de l'infraction à l'art. 286 CP. L'appel est rejeté sur ce point. Le jugement de première instance sera confirmé.</w:t>
      </w:r>
    </w:p>
    <w:p>
      <w:r>
        <w:rPr>
          <w:b/>
        </w:rPr>
        <w:t>E. 2.9</w:t>
      </w:r>
    </w:p>
    <w:p>
      <w:r>
        <w:t>Il est établi tant par le rapport d'arrestation du 24 mai 2023, dont il n'y a, pour les raisons évoquées supra (cf. consid. 2.8.1.), aucune raison de s'écarter, que par les aveux de l'appelant au cours de la procédure, qu'il était en possession, lors de son arrestation, de deux comprimés de DORMICUM, dont le principe actif est le midazolam (benzodiazépine) (art. 2 let. b et 2 b LStup ; arrêts du Tribunal fédéral 6B_220/2015 et 6B_232/2015 du 10 février 2016 consid. 3.3), sans disposer d'une ordonnance (art. 3 al. 2 let. b, 46 et 48 de l'Ordonnance fédérale sur le contrôle des stupéfiants [OCStup] ; art. 1 al. 2 let. a et annexes 1 et 3 de l'Ordonnance fédérale sur les tableaux des stupéfiants [OTStup-DFI]). Les faits décrits au chiffre 1.3. de l'acte d'accusation sont donc établis et constitutifs d'une contravention à l'art. 19a ch. 1 LStup. L'appel doit être rejeté sur ce point et le jugement querellé confirmé.</w:t>
      </w:r>
    </w:p>
    <w:p>
      <w:r>
        <w:rPr>
          <w:b/>
        </w:rPr>
        <w:t>E. 3.1</w:t>
      </w:r>
    </w:p>
    <w:p>
      <w:r>
        <w:t>La violation de l'art. 291 CP est passible d'une peine privative de liberté de trois ans au plus ou d'une peine pécuniaire ; celle de l'art. 286 CP de 30 jours-amende au plus et celle de l'art. 19a ch. 1 LStup d'une amende.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w:t>
      </w:r>
    </w:p>
    <w:p>
      <w:r>
        <w:rPr>
          <w:b/>
        </w:rPr>
        <w:t>E. 3.3</w:t>
      </w:r>
    </w:p>
    <w:p>
      <w:r>
        <w:t>À teneur de l'art. 89 CP, si, durant le délai d'épreuve, le détenu libéré conditionnellement commet un crime ou un délit, le juge qui connaît de la nouvelle infraction ordonne sa réintégration dans l'établissement (al. 1). Le juge peut renoncer à réintégrer dans l'établissement de détention le détenu libéré conditionnellement ayant commis un nouveau crime ou délit, s'il n'y a pas lieu de craindre que celui-ci commette d'autres infractions (al. 2). Si, en raison de la nouvelle infraction, les conditions d'une peine privative de liberté ferme sont réunies et que celle-ci entre en concours avec le solde de la peine devenu exécutoire à la suite de la révocation, le juge prononce, en vertu de l'art. 49, une peine d'ensemble. Lors de la fixation de la peine d'ensemble, la nouvelle peine, en tant que " peine de départ ", doit être augmentée en raison de la peine révoquée par application analogique du principe de l'aggravation (arrêt du Tribunal fédéral 6B_444/2023 du 17 août 2023 consid. 4.1.2).</w:t>
      </w:r>
    </w:p>
    <w:p>
      <w:r>
        <w:rPr>
          <w:b/>
        </w:rPr>
        <w:t>E. 3.4</w:t>
      </w:r>
    </w:p>
    <w:p>
      <w:r>
        <w:t>La faute de l'appelant est relativement sérieuse en lien avec l'infraction de rupture de ban, dans la mesure où il est revenu en Suisse alors qu'il connaissait l'existence de la mesure d'expulsion et avait été condamné à peine trois mois plus tôt pour les mêmes faits. Sa culpabilité est moyenne à importante concernant l'infraction de l'art. 286 CP. Il a pris la fuite en courant devant la police de manière à, à tout le moins, différer le travail de celle-ci, sans oublier que l'usage de la force a été nécessaire pour le neutraliser. Elle est de faible à moyenne s'agissant de l'infraction contre la LStup. Il disposait de deux comprimés, lesquels étaient destinés à sa propre consommation. Ses mobiles sont égoïstes. Il a agi par convenance personnelle, faisant fi d'une décision judiciaire en force et au mépris des autorités de poursuite helvétiques. Seule l'intervention de celles-ci l'a stoppé dans ses agissements. Sa prise de conscience fait défaut compte tenu de l'acquittement plaidé. Sa collaboration n'est que partielle. Sa situation personnelle, en particulier sa toxicomanie, explique en partie les infractions, mais ne les justifie aucunement. Il a des antécédents nombreux et spécifiques. Il est ancré dans la délinquance.</w:t>
      </w:r>
    </w:p>
    <w:p>
      <w:r>
        <w:rPr>
          <w:b/>
        </w:rPr>
        <w:t>E. 3.5</w:t>
      </w:r>
    </w:p>
    <w:p>
      <w:r>
        <w:t>Vu l'absence d'effet de ses précédentes condamnations, même après avoir purgé des peines privatives de liberté, de l'avertissement formel signifié le 3 février 2023 et de la prolongation du délai d'épreuve, et vu la rapidité de la réitération de son comportement délictueux après sa dernière condamnation, seule une peine privative de liberté permet de sanctionner la rupture de ban. Pour ces mêmes motifs, la révocation de la liberté conditionnelle accordée le 29 août 2022 à l'appelant (solde de peine : quatre mois et 19 jours) se justifie et sera confirmée, de même que la peine d'ensemble d'une quotité de neuf mois. Seront également prononcées à l'encontre de l'appelant une peine pécuniaire de 20 jours-amende, à CHF 10.- l'unité, et une amende de CHF 100.-, compte tenu de la situation personnelle et financière de l'appelant (revenu mensuel de EUR 600.-), pour sanctionner la violation des art. 286 CP et 19a ch. 1 LStup.</w:t>
      </w:r>
    </w:p>
    <w:p>
      <w:r>
        <w:rPr>
          <w:b/>
        </w:rPr>
        <w:t>E. 3.6</w:t>
      </w:r>
    </w:p>
    <w:p>
      <w:r>
        <w:t>Dans le prolongement de ce qui justifie la révocation de la liberté conditionnelle, l'appelant ne saurait se prévaloir de l'octroi du sursis. Son passé judiciaire en France comme en Suisse, en particulier le genre et la quotité des peines prononcées les 2 mai 2022 et 23 mars 2023, suggèrent un pronostic défavorable et une absence de volonté d'amendement, de sorte que les conditions de l'art. 42 al. 2 CP font défaut.</w:t>
      </w:r>
    </w:p>
    <w:p>
      <w:r>
        <w:rPr>
          <w:b/>
        </w:rPr>
        <w:t>E. 3.7</w:t>
      </w:r>
    </w:p>
    <w:p>
      <w:r>
        <w:t>Le jugement entrepris sera confirmé sur ces points.</w:t>
      </w:r>
    </w:p>
    <w:p>
      <w:r>
        <w:rPr>
          <w:b/>
        </w:rPr>
        <w:t>E. 4</w:t>
      </w:r>
    </w:p>
    <w:p>
      <w:r>
        <w:t>4.1. L'appelant, qui succombe entièrement, supportera les frais de la procédure envers l'État, y compris un émolument d'arrêt de CHF 1'200.- (art. 428 al. 1 CPP).</w:t>
      </w:r>
    </w:p>
    <w:p>
      <w:r>
        <w:rPr>
          <w:b/>
        </w:rPr>
        <w:t>E. 4.2</w:t>
      </w:r>
    </w:p>
    <w:p>
      <w:r>
        <w:t>Vu l'issue de l'appel, il n'y a pas lieu de revoir la répartition des frais de la procédure préliminaire et de première instance (art. 428 al. 3 CPP).</w:t>
      </w:r>
    </w:p>
    <w:p>
      <w:r>
        <w:rPr>
          <w:b/>
        </w:rPr>
        <w:t>E. 5</w:t>
      </w:r>
    </w:p>
    <w:p>
      <w:r>
        <w:t>Dans la mesure où le verdict de culpabilité est confirmé et que la détention avant jugement subie ne dépasse pas la peine prononcée, les conclusions de l'appelant en réparation du tort moral seront rejetées (art. 429 al. 1 let. c CPP et art. 431 al. 2 CPP).</w:t>
      </w:r>
    </w:p>
    <w:p>
      <w:r>
        <w:rPr>
          <w:b/>
        </w:rPr>
        <w:t>E. 6</w:t>
      </w:r>
    </w:p>
    <w:p>
      <w:r>
        <w:t>6.1. Considéré globalement, l'état de frais produit par M e C______, défenseur d'office de A______, satisfait les exigences légales et jurisprudentielles régissant l'assistance judiciaire gratuite en matière pénale, sous réserve du forfait demandé qui sera ramené à 10% compte tenu de l'activité déjà indemnisée (cf. notamment ACPR/352/2015 du 25 juin 2015).</w:t>
      </w:r>
    </w:p>
    <w:p>
      <w:r>
        <w:rPr>
          <w:b/>
        </w:rPr>
        <w:t>E. 6.2</w:t>
      </w:r>
    </w:p>
    <w:p>
      <w:r>
        <w:t>La rémunération de M e C______ sera partant arrêtée à CHF 2'260.60 correspondant à 9,58 heures d'activité au tarif de CHF 200.-/heure (CHF 1'916.67) plus la majoration forfaitaire de 10% (CHF 191.67) et l'équivalent de la TVA au taux de 7.7% (CHF 57.75) et 8.1% (CHF 94.50).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