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P/11219/2010 vom 28. November 2014</w:t>
      </w:r>
    </w:p>
    <w:p>
      <w:r>
        <w:t>GE Cour de justice, 2014-11-28, FR</w:t>
      </w:r>
    </w:p>
    <w:p>
      <w:r>
        <w:rPr>
          <w:b/>
        </w:rPr>
        <w:t xml:space="preserve">Quelle: </w:t>
      </w:r>
      <w:r>
        <w:t>https://mcp.opencaselaw.ch/entscheid/ge_gerichte_P_11219_2010</w:t>
      </w:r>
    </w:p>
    <w:p>
      <w:r>
        <w:t>FR: GE_GERICHTE P/11219/2010 du 28 novembre 2014</w:t>
      </w:r>
    </w:p>
    <w:p>
      <w:r>
        <w:t>IT: GE_GERICHTE P/11219/2010 del 28 novembre 2014</w:t>
      </w:r>
    </w:p>
    <w:p>
      <w:pPr>
        <w:pStyle w:val="Heading2"/>
      </w:pPr>
      <w:r>
        <w:t>Regeste</w:t>
      </w:r>
    </w:p>
    <w:p>
      <w:r>
        <w:t>CONTRAINTE SEXUELLE; FRAIS DE LA PROCÉDURE; INDEMNITÉ(EN GÉNÉRAL) | CEDH.6.2; Cst.32.1; CPP.10.3; CPP.135.2; CPP.136.2.B; CPP.421.1; CP.189.1; RAJ.16.1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sexuel.![endif]&gt;![if&gt;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 vol. I, 3 e éd., Berne 2010,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 n. 18 ad art. 189).</w:t>
      </w:r>
    </w:p>
    <w:p>
      <w:r>
        <w:rPr>
          <w:b/>
        </w:rPr>
        <w:t>E. 3.2</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3.3.1 Les infractions de vol, de lésions corporelles simples et la violation de l'art. 19a al. 1 LStup ne sont pas contestées par l'intimé. Dès lors que les éléments constitutifs de ces infractions sont réalisés, la culpabilité de l'intimé sera confirmée. 3.3.2 Le dossier ne contient pas de preuve indiscutable – ce qui est fréquent dans une affaire à caractère sexuel – mais bien divers indices, à charge et à décharge, qu'il s'agit d'apprécier pour déterminer si la thèse de l'accusation peut être tenue pour établie, au-delà de tout doute raisonnable. En l'espèce, les versions sont constantes mais contradictoires. L'appelante avait vécu la fellation comme un viol alors même qu'elle a reconnu ne pas avoir manifesté verbalement son refus, comme tétanisée par la peur que lui inspirait l'intimé. Celui-ci a décrit un acte naturel dans la continuité de l'acte sexuel précédent, sans qu'il ne se soit aperçu de la terreur qui animait l'appelante. Une différence significative tient à la chronologie, les faits litigieux étant intervenus avant l'épisode de violence selon l'intimé et après si l'on en croit l'appelante. Les certificats médicaux n’infirment ni n’accréditent aucune des deux versions. En tout état, et bien que ce ne soit pas incompatible avec une agression sexuelle, aucune trace de violence n’a été constatée. La médecin traitant de l’appelante a constaté que sa patiente souffrait de symptômes d’état de stress aigu ou post-traumatique, mais cet élément, pris isolément, n’est pas suffisant pour démontrer que l’intimé s’est rendu coupable de contrainte sexuelle, ce d'autant que l'auteur du constat n'est pas un praticien spécialisé dans cette thématique. Il en va de même du mal-être de l’appelante, dont il n’est pas prouvé qu’il soit en lien exclusif avec l’agression dont elle dit avoir été victime, l'appelante étant déjà fragilisée par une affection durable pour laquelle elle était en traitement. Les différents témoignages émanant des amies intimes de l'intimé s’accordent sur le fait que ce dernier n'avait pas fait preuve d'agressivité ou de violence pour obtenir des faveurs sexuelles. Cet élément ne saurait cependant à lui seul suffire pour écarter la culpabilité de l'intimé pour un acte isolé. Mais il y a plus. A suivre la chronologie décrite par l'appelante, il est troublant de constater qu'elle a suivi l'intimé malgré la terreur ressentie lors de son arrivée en force dans sa chambre. Même soumise, il y avait pour elle la possibilité d'alerter des tiers dans les couloirs de l'hôtel. En acceptant de le suivre pour un motif futile, l'appelante a pris le risque de retourner auprès de l'individu qui lui avait déjà fait subir, une quinzaine de minutes avant, un acte sexuel complet. Il l’avait pénétrée alors qu'elle ne le voulait pas, même si elle n'avait pas été claire dans l'expression de son refus, le tout dans un contexte où elle a reconnu avoir antérieurement fait comprendre à son agresseur qu'elle ne voulait pas d'une relation autre qu'amicale. Le fait qu'elle l'ait suivi docilement, sans chercher à attirer l'attention des autres locataires, a pu faire naître chez l'intimé l'impression d'un accord tacite pour la continuation de leurs ébats. Ce sentiment a pu être renforcé par la soumission dont elle avait fait preuve et qui a permis à l'intimé de la faire s'asseoir sur le lit sans devoir user de la force. Dans ces circonstances, l'intimé a pu croire que l'appelante n'était pas formellement opposée à l'idée d'un nouvel acte d'ordre sexuel, la peur de mourir ressentie par l'appelante ne se concrétisant pas par des actes de refus explicite ou une opposition. S'ajoutent à ce qui précède des essais de sonnerie pour repérer le téléphone portable de l'intimé prétendument perdu, ce qui est suffisamment incongru pour faire naître des doutes sur la réalité d'un épisode sexuel imposé dans les minutes qui précédaient. La logique de la chronologie des événements s'accorde mieux à vrai dire avec le récit de l'intimé, pour lequel il était devenu vert de rage après l'épisode de la fellation, certes pour des motifs peu convaincants. Mais même dans cette version, il est incompréhensible que l'appelante ait accepté de suivre l'intimé pour l'aider dans ses recherches de portable alors que, terrorisée et recroquevillée, elle venait d'être victime de ses actes. Même soumise comme elle l'affirme, il y avait moyen d'agir autrement. Il subsiste ainsi un sérieux doute sur la conscience qu’a eue l’intimé du fait que l'appelante ne consentait pas à la fellation et qu’il la contraignait, mais également, au vu de l’incohérence apparente de son comportement, sur les réelles intentions de l’appelante. Par conséquent, bien qu’il soit établi qu'elle ait mal vécu les actes sexuels subis, l’appréciation objective des éléments de preuve recueillis ne permet pas de démontrer que l’intimé se soit montré contraignant et d’accréditer la thèse de la contrainte sexuelle, étant précisé que cela ne signifie pas pour autant que la partie plaignante est soupçonnée d'avoir sciemment porté de fausses accusations. Au vu de ce qui précède, l'appel de la partie plaignante sera rejeté, à l'instar de la partie de ses conclusions civiles consacrées à son indemnisation pour tort moral. Il en va différemment des frais d'honoraires liés au conseil juridique gratuit qui seront examinés infra sous ch. 5.</w:t>
      </w:r>
    </w:p>
    <w:p>
      <w:r>
        <w:rPr>
          <w:b/>
        </w:rPr>
        <w:t>E. 4</w:t>
      </w:r>
    </w:p>
    <w:p>
      <w:r>
        <w:t>L'intimé ne conteste ni la nature ni la quotité de la peine ni encore que le sursis lui ait été refusé eu égard à l'absence de circonstances particulièrement favorables, de sorte que le jugement du Tribunal de police sera confirmé sur ce point aussi, les critères des art. 42 al. 2 et 47 CP étant respectés.![endif]&gt;![if&gt;</w:t>
      </w:r>
    </w:p>
    <w:p>
      <w:r>
        <w:rPr>
          <w:b/>
        </w:rPr>
        <w:t>E. 5</w:t>
      </w:r>
    </w:p>
    <w:p>
      <w:r>
        <w:t>5.1.1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![endif]&gt;![if&gt; Au regard de ce qui précède, la CPAR n'est compétente, au sens de l'art. 135 al. 2 CPP, que pour statuer sur l'activité postérieure à sa saisine, le 28 janvier 2014. 5.1.2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Pour les victimes au sens de la LAVI, dont la défense implique généralement un soutien accru, une indemnisation forfaitaire de 20% est allouée pour les démarches diverses, tels la rédaction de courriers ou notes, les entretiens téléphoniques et la lecture de communications, pièces et décisions. Le temps consacré aux recherches juridiques, sauf questions particulièrement pointues, n'est pas indemnisé. 5.1.3 En l'espèce, l'activité suivante ne sera pas considérée comme nécessaire : - une heure et 30 minutes pour le poste "procédure", la réception et la lecture du jugement de première instance étant des prestations incluses dans le forfait courriers et téléphones et la déclaration d'appel ne devant pas être motivée au sens des exigences de l'art. 399 al. 3 CPP ; - trois heures et 45 minutes pour la préparation de l'audience, au motif que le conseil de l'appelante était censée bien connaître son dossier pour avoir assisté sa mandante depuis le début de la procédure et avoir facturé de nombreuses heures au titre de l'activité de première instance. Dans ces circonstances, il n'était pas nécessaire de consacrer encore plus de 15 heures à la préparation de l'audience d'appel dont le champ était circonscrit à un seul acte litigieux. L'activité exercée par le conseil juridique gratuit de l'appelante dans le cadre de la présente procédure est au surplus en adéquation avec la nature, l'importance et la difficulté de la cause. Par conséquent, l'état de frais, après les réductions qui précèdent, sera admis à concurrence de 21 heures et 30 minutes d'activité de chef d'étude, ce qui correspond à une indemnité de base de CHF 4'300.-. Il convient d'ajouter à ce montant l'indemnisation forfaitaire de 20 %, soit CHF 860.-, ainsi que la TVA à hauteur de CHF 412.80.</w:t>
      </w:r>
    </w:p>
    <w:p>
      <w:r>
        <w:rPr>
          <w:b/>
        </w:rPr>
        <w:t>E. 5.2</w:t>
      </w:r>
    </w:p>
    <w:p>
      <w:r>
        <w:t>Conformément à la jurisprudence citée supra sous ch. 5.1.1, la présente cause sera retournée au Tribunal pénal pour la partie de l'indemnisation des honoraires du conseil juridique gratuit de l'appelante non couverte par la procédure d'appel.</w:t>
      </w:r>
    </w:p>
    <w:p>
      <w:r>
        <w:rPr>
          <w:b/>
        </w:rPr>
        <w:t>E. 6</w:t>
      </w:r>
    </w:p>
    <w:p>
      <w:r>
        <w:t>L'appelante, qui succombe entièrement, aurait dû supporter les frais de la procédure d’appel si elle n'avait pas bénéficié de l'assistance judiciaire. En application de l'art. 136 al. 2 let. b CPP, les frais de la procédure d'appel seront en conséquence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