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P/11202/2015 vom 14. November 2016</w:t>
      </w:r>
    </w:p>
    <w:p>
      <w:r>
        <w:t>GE Cour de justice, 2016-11-14, FR</w:t>
      </w:r>
    </w:p>
    <w:p>
      <w:r>
        <w:rPr>
          <w:b/>
        </w:rPr>
        <w:t xml:space="preserve">Quelle: </w:t>
      </w:r>
      <w:r>
        <w:t>https://mcp.opencaselaw.ch/entscheid/ge_gerichte_P_11202_2015</w:t>
      </w:r>
    </w:p>
    <w:p>
      <w:r>
        <w:t>FR: GE_GERICHTE P/11202/2015 du 14 novembre 2016</w:t>
      </w:r>
    </w:p>
    <w:p>
      <w:r>
        <w:t>IT: GE_GERICHTE P/11202/2015 del 14 novembre 2016</w:t>
      </w:r>
    </w:p>
    <w:p>
      <w:pPr>
        <w:pStyle w:val="Heading2"/>
      </w:pPr>
      <w:r>
        <w:t>Regeste</w:t>
      </w:r>
    </w:p>
    <w:p>
      <w:r>
        <w:t>MENDICITÉ; CONTRAVENTION; ENFANT; FIXATION DE L'AMENDE; CIRCONSTANCES PERSONNELLES; PROPORTIONNALITÉ; PEINE MINIMALE | LPG.11A.1; LPG.11A.2; CP.106.3; LPG.1.1; CPP.398.4; CP.335.1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(arrêts du Tribunal fédéral 6B_695/2012 du 9 avril 2013 consid. 2.3.1 ; 1B_768/2012 du 15 janvier 2013 consid. 2.1 et les références citées). Une telle restriction est compatible avec le droit conventionnel (ATF 128 I 237 consid. 3 p. 238 s. et les références citées).</w:t>
      </w:r>
    </w:p>
    <w:p>
      <w:r>
        <w:rPr>
          <w:b/>
        </w:rPr>
        <w:t>E. 1.3</w:t>
      </w:r>
    </w:p>
    <w:p>
      <w:r>
        <w:t>Il n'y a pas lieu de revenir sur le verdict de culpabilité du chef d'infractions à l'art. 11A al. 1 LPG, qui n'est plus litigieux en appel.</w:t>
      </w:r>
    </w:p>
    <w:p>
      <w:r>
        <w:rPr>
          <w:b/>
        </w:rPr>
        <w:t>E. 2</w:t>
      </w:r>
    </w:p>
    <w:p>
      <w:r>
        <w:t>2.1.1. À teneur de l'art. 11A LPG, celui qui aura mendié sera puni de l'amende (al. 1). Si l'auteur organise la mendicité d'autrui ou s'il est accompagné d'une ou plusieurs personnes mineures ou dépendantes, l'amende sera de CHF 2'000.- au moins (al. 2). En application de l'art. 106 CP, le juge prononce dans son jugement, pour le cas où, de manière fautive, le condamné ne paie pas l'amende, une peine privative de liberté de substitution (al. 2). L'amende et la peine privative de liberté de substitution sont fixées en tenant compte de la situation de l'auteur, de façon à constituer une peine correspondant à la faute commise (al. 3 CP). 2.1.2. Lorsque les cantons adoptent des dispositions pénales, ils ne sont pas liés par le maximum de CHF 10'000.- prévu à l'art. 106 al. 1 CP. En matière de contraventions, les cantons ne sont en effet pas tenus de reprendre l'ensemble des principes figurant dans la partie générale du Code pénal. La loi pénale genevoise prévoit, certes, que les art. 1 à 110 CP s'appliquent aux contraventions du droit cantonal (art. 1 al. 1), mais ce renvoi n'est pas absolu car les dispositions contraires de la loi sont expressément réservées. Le législateur cantonal peut dès lors s'écarter du maximum prévu à l'art. 106 CP (arrêt du Tribunal fédéral 1C_225/2012 du 10 juillet 2013 consid. 5.3). Même si le maximum de l'amende prévu par le droit cantonal est dix fois supérieur aux CHF 10'000.- de l'art. 106 CP, il n'en résulte pas, en soi, une violation du principe de la proportionnalité. Les dispositions de la partie générale du CP étant applicables aux contraventions du droit cantonal, l'autorité administrative doit tenir compte, pour fixer le montant de l'amende, de la situation de l'auteur et de la faute commise (art. 106 al. 3 CP ; arrêt du Tribunal fédéral 1C_225/2012 précité consid. 5.3). Il appartient à l'autorité d'application de s'assurer, cas échéant, qu'il existe un rapport raisonnable entre la sanction et la faute commise (arrêts du Tribunal fédéral 1C_225/2012 précité consid. 5.3 in fine et 1P.730/2003 du 22 mars 2004 = SJ 2004 I 459). 2.2.1. Dans la mesure où le législateur cantonal peut s'écarter du montant maximum de l'amende prévu par le droit fédéral, il peut a fortiori en prévoir un minimum. En tout état, il appartient au juge de s'assurer de l'adéquation de l'amende. L'art. 106 al. 3 CP lui impose en effet de prendre en compte la situation personnelle du contrevenant. À cet égard, l'existence d'une peine minimale ne constitue pas, en elle-même, une violation du principe d'individualisation de la peine. D'ailleurs, le droit pénal fédéral prévoit couramment une peine plancher en cas de circonstances aggravantes, ce qui n'est pas contraire aux règles présidant à la fixation de la peine, conformément à l'art. 47 CP. Par conséquent, ce grief, infondé, doit être rejeté. 2.2.2. S'agissant des faits visés dans les ordonnances n os 6______, 7______ et 8______, l'appelante les admet, tout en faisant valoir qu'elle n'a pas trouvé de solution de garde pour son enfant, durant une brève période. Cet argument est dénué de pertinence. À trois reprises, l'appelante s'est adonnée à la mendicité avec son jeune fils dans les bras, manifestement pour stimuler la pitié (cf. MGC 2007-2008/vol. II Annexes p. 1210). La "circonstance aggravante" de l'art. 11A al. 2 LPG est dès lors réalisée. Au vu de ce qui précède, c'est à bon droit que le premier juge a reconnu l'appelante coupable de mendicité avec mineur. Sa décision doit être confirmée. 2.2.3. La répétition des faits, à huit reprises en l'espace d'un an et demi, plaide en faveur d'une culpabilité relativement légère de l'appelante, d'autant que les occurrences qualifiées se sont déroulées sur une période de moins de deux mois. Il y a concours d'infractions, facteur aggravant. Au vu de son impécuniosité et de la charge liée à son jeune enfant, il convient de ramener l'amende à un montant global de CHF 3'000.-. La peine privative de liberté de substitution est de 30 jours.</w:t>
      </w:r>
    </w:p>
    <w:p>
      <w:r>
        <w:rPr>
          <w:b/>
        </w:rPr>
        <w:t>E. 3</w:t>
      </w:r>
    </w:p>
    <w:p>
      <w:r>
        <w:t>L'appelante, qui succombe partiellement, supportera la moitié des frais de la procédure d'appel, qui comprennent dans leur globalité un émolument de CHF 1'000.- (art. 428 al. 1 CPP et art. 14 al. 1 let. e du règlement fixant le tarif des frais en matière pénale du 22 décembre 2010 (RTFMP ; E 4 10.03). Le solde de ces frais sera laissé à la charge de l'État.</w:t>
      </w:r>
    </w:p>
    <w:p>
      <w:r>
        <w:rPr>
          <w:b/>
        </w:rPr>
        <w:t>E. 4</w:t>
      </w:r>
    </w:p>
    <w:p>
      <w:r>
        <w:t>. 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4.1.3.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4.2</w:t>
      </w:r>
    </w:p>
    <w:p>
      <w:r>
        <w:t>En l'espèce, M e B______, défenseur d'office de l'appelante, n'a pas déposé son état de frais, bien qu'invitée à le faire par courrier de la direction de la procédure du 1 er juin 2016. La CPAR arrêtera l'indemnité ex aequo et bono à CHF 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