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P/11059/2021 vom 21. Dezember 2021</w:t>
      </w:r>
    </w:p>
    <w:p>
      <w:r>
        <w:t>GE Cour de justice, 2021-12-21, FR</w:t>
      </w:r>
    </w:p>
    <w:p>
      <w:r>
        <w:rPr>
          <w:b/>
        </w:rPr>
        <w:t xml:space="preserve">Quelle: </w:t>
      </w:r>
      <w:r>
        <w:t>https://mcp.opencaselaw.ch/entscheid/ge_gerichte_P_11059_2021</w:t>
      </w:r>
    </w:p>
    <w:p>
      <w:r>
        <w:t>FR: GE_GERICHTE P/11059/2021 du 21 décembre 2021</w:t>
      </w:r>
    </w:p>
    <w:p>
      <w:r>
        <w:t>IT: GE_GERICHTE P/11059/2021 del 21 dicembre 2021</w:t>
      </w:r>
    </w:p>
    <w:p>
      <w:pPr>
        <w:pStyle w:val="Heading2"/>
      </w:pPr>
      <w:r>
        <w:t>Regeste</w:t>
      </w:r>
    </w:p>
    <w:p>
      <w:r>
        <w:t>INDEMNITÉ(EN GÉNÉRAL);CLASSEMENT DE LA PROCÉDURE | CPP.318; CPP.429</w:t>
      </w:r>
    </w:p>
    <w:p>
      <w:pPr>
        <w:pStyle w:val="Heading2"/>
      </w:pPr>
      <w:r>
        <w:t>Erwägungen</w:t>
      </w:r>
    </w:p>
    <w:p>
      <w:r>
        <w:rPr>
          <w:b/>
        </w:rPr>
        <w:t>E. 1</w:t>
      </w:r>
    </w:p>
    <w:p>
      <w:r>
        <w:t>Le recours est recevable pour avoir été déposé selon la forme et dans le délai prescrits (art. 385 al. 1 et 396 al. 1 CPP), concerner un point d'une ordonnance de classement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se plaint de n'avoir pas pu prendre de conclusions en indemnisation, faute pour le Ministère public d'avoir rendu un avis de prochaine clôture avant de prononcer l'ordonnance de classement querellée. ![endif]&gt;![if&gt;</w:t>
      </w:r>
    </w:p>
    <w:p>
      <w:r>
        <w:rPr>
          <w:b/>
        </w:rPr>
        <w:t>E. 2.1</w:t>
      </w:r>
    </w:p>
    <w:p>
      <w:r>
        <w:t>Lorsqu'il estime que l'instruction est complète, le ministère public rend une ordonnance pénale ou informe les parties de la clôture prochaine de l'instruction en leur octroyant un délai pour présenter leurs réquisitions de preuves (art. 318 al. 1 et 2 CPP). Lorsqu'elle envisage le classement, l'autorité doit inviter les prévenus à soumettre leurs prétentions relatives à l'indemnité de l'art. 429 CPP (LANDSHUT / BOSSHARD, Kommentar zur Schweizerischen Strafprozessordnung (StPO), 2ème éd,. Zurich 2014, n. 4 ad art. 318 CPP). Les formalités de l'art. 318 al. 1 CPP sont essentielles et doivent obligatoirement précéder toute ordonnance de classement et tout renvoi en tribunal. Si le ministère public n'a pas respecté ces formes pour la clôture, la décision qu'il rend ensuite (classement, renvoi) est annulable, étant précisé qu'une réparation devant l'instance de recours est envisageable (arrêt du Tribunal fédéral 1B_22/2012 consid. 3 du 11 mai 2012).</w:t>
      </w:r>
    </w:p>
    <w:p>
      <w:r>
        <w:rPr>
          <w:b/>
        </w:rPr>
        <w:t>E. 2.2</w:t>
      </w:r>
    </w:p>
    <w:p>
      <w:r>
        <w:t>En l'espèce, le Ministère public a admis avoir omis à tort de rendre un avis de prochaine clôture avant de prononcer le classement et s'en est rapporté à justice quant à l'indemnité sollicitée, les frais de la procédure ayant été laissés à la charge de l'État. Il s'est par ailleurs déterminé sur la note d'honoraires du recourant – qu'il juge excessive – ce qui implique que sa position est connue. Au regard du principe d'économie de procédure et du montant litigieux en cause, la cause ne lui sera exceptionnellement pas renvoyée et il sera statué ici sur la demande en indemnisation.</w:t>
      </w:r>
    </w:p>
    <w:p>
      <w:r>
        <w:rPr>
          <w:b/>
        </w:rPr>
        <w:t>E. 3</w:t>
      </w:r>
    </w:p>
    <w:p>
      <w:r>
        <w:t>La question de l'indemnisation du prévenu (art. 429 CPP) doit être traitée en relation avec celle des frais (art. 426 CPP). ![endif]&gt;![if&gt;</w:t>
      </w:r>
    </w:p>
    <w:p>
      <w:r>
        <w:rPr>
          <w:b/>
        </w:rPr>
        <w:t>E. 3.1</w:t>
      </w:r>
    </w:p>
    <w:p>
      <w:r>
        <w:t>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La Cour de justice applique au chef d'étude un tarif horaire de CHF 450.- (arrêt du Tribunal fédéral 2C_725/2010 du 31 octobre 2011 = SJ 2012 I 172; ACPR/279/2014 du 27 mai 2014). Elle retient un taux horaire de CHF 350.- pour les collaborateurs ( AARP/65/2017 du 23 février 2017) et de CHF 150.- pour les avocats stagiaires ( ACPR/187/2017 du 22 mars 2017 consid 3.2 ; AARP/65/2017 du 23 février 2017). Le temps consacré aux déplacements n’est pas taxé de la même manière que le temps consacré à l'étude du dossier, un tarif inférieur étant admis (ATF 142 IV 163 consid. 3.1.3 p. 169 ; arrêt du Tribunal fédéral 6B_796/2016 du 15 mai 2017 consid. 2.2.2), la Chambre de céans appliquant un forfait par déplacement (aller-retour) de CHF 150.- pour un chef d'étude, CHF 75.- pour un collaborateur et CHF 50.- pour un avocat stagiaire ( ACPR/158/2021 du 10 mars 2021).</w:t>
      </w:r>
    </w:p>
    <w:p>
      <w:r>
        <w:rPr>
          <w:b/>
        </w:rPr>
        <w:t>E. 3.3</w:t>
      </w:r>
    </w:p>
    <w:p>
      <w:r>
        <w:t>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(L. MOREILLON / A. PAREIN-REYMOND, Code de procédure pénale - Petit commentaire , 2ème éd., Bâle 2016, n. 29 ad art. 429 CPP).</w:t>
      </w:r>
    </w:p>
    <w:p>
      <w:r>
        <w:rPr>
          <w:b/>
        </w:rPr>
        <w:t>E. 3.4</w:t>
      </w:r>
    </w:p>
    <w:p>
      <w:r>
        <w:t>En l'espèce, la note d'honoraires présentée ne fournit aucun détail concernant le temps consacré aux différents postes listés, pas plus qu'elle ne mentionne le tarif horaire appliqué. À la lecture du dossier et vu le volume de celui-ci, il apparaît ainsi équitable de retenir 1h15 d'activités au tarif horaire de CHF 450.- (1h d'entretien-client et 15 minutes pour le courrier de constitution au Ministère public). Il convient d'ajouter le même temps au tarif horaire de CHF 150.- (45 minutes d'audience et 30 minutes de préparation à celle-ci) ainsi qu'un forfait de CHF 50.- pour le déplacement de l'avocat stagiaire. Le poste restant ( "Divers entretiens téléphoniques avec le client" ) sera ramené à 15 minutes au tarif horaire de CHF 450.-. En effet, ce temps paraît adéquat pour fournir au recourant les informations nécessaires relatives à la procédure, étant précisé que celle-ci a été suspendue pendant près de six mois et n'a donc pas commandé d'actes d'instruction particuliers, outre les auditions du prévenu. Le poste "Téléphones, photocopies, fax, ports" ne sera pas pris en compte, d'une part, parce qu'il n'est pas documenté et, d'autre part, parce que les frais d'entretiens téléphoniques sont déjà pris en considération dans le temps indemnisé. L'indemnité devant être allouée au recourant pour l'exercice raisonnable de ses droits de procédure de première instance s'élève par conséquent à CHF 912.50, auxquels il convient d'ajouter la TVA à 7.7%.</w:t>
      </w:r>
    </w:p>
    <w:p>
      <w:r>
        <w:rPr>
          <w:b/>
        </w:rPr>
        <w:t>E. 4</w:t>
      </w:r>
    </w:p>
    <w:p>
      <w:r>
        <w:t>Partiellement fondé, le recours sera admis; partant, le chiffre 3 de l'ordonnance querellé sera annulé. ![endif]&gt;![if&gt;</w:t>
      </w:r>
    </w:p>
    <w:p>
      <w:r>
        <w:rPr>
          <w:b/>
        </w:rPr>
        <w:t>E. 5</w:t>
      </w:r>
    </w:p>
    <w:p>
      <w:r>
        <w:t>Le recourant, qui obtient en grande partie gain de cause, ne supportera pas les frais envers l'État (art. 428 al. 1 et 2 CPP).![endif]&gt;![if&gt;</w:t>
      </w:r>
    </w:p>
    <w:p>
      <w:r>
        <w:rPr>
          <w:b/>
        </w:rPr>
        <w:t>E. 6</w:t>
      </w:r>
    </w:p>
    <w:p>
      <w:r>
        <w:t>Le recourant, prévenu, sollicite le versement d'une indemnité de CHF 1'050.-, hors TVA, au titre de ses frais d'avocat, correspondant à trois heures d'activités au taux horaire collaborateur de CHF 350.-. ![endif]&gt;![if&gt;</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 Bâle 2011, n. 12 ad art. 429).</w:t>
      </w:r>
    </w:p>
    <w:p>
      <w:r>
        <w:rPr>
          <w:b/>
        </w:rPr>
        <w:t>E. 6.2</w:t>
      </w:r>
    </w:p>
    <w:p>
      <w:r>
        <w:t>En l'occurrence, le mémoire de recours comprend six pages, dont deux concernent la partie vouée au développement juridique. La réplique tient quant à elle sur une page. La cause ne présente pas de difficultés juridiques ou factuelles particulières. Partant, eu égard au travail ici fourni et au fait que le recourant n'obtient que partiellement gain de cause, seule 1h30 d'activités au tarif horaire de CHF 350.- sera indemnisée, ce qui correspond à une indemnité de CHF 525.-, à laquelle s'ajoutera la TVA en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