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P/11056/2010 vom 5. Mai 2013</w:t>
      </w:r>
    </w:p>
    <w:p>
      <w:r>
        <w:t>GE Cour de justice, 2013-05-05, FR</w:t>
      </w:r>
    </w:p>
    <w:p>
      <w:r>
        <w:rPr>
          <w:b/>
        </w:rPr>
        <w:t xml:space="preserve">Quelle: </w:t>
      </w:r>
      <w:r>
        <w:t>https://mcp.opencaselaw.ch/entscheid/ge_gerichte_P_11056_2010</w:t>
      </w:r>
    </w:p>
    <w:p>
      <w:r>
        <w:t>FR: GE_GERICHTE P/11056/2010 du 5 mai 2013</w:t>
      </w:r>
    </w:p>
    <w:p>
      <w:r>
        <w:t>IT: GE_GERICHTE P/11056/2010 del 5 maggio 2013</w:t>
      </w:r>
    </w:p>
    <w:p>
      <w:pPr>
        <w:pStyle w:val="Heading2"/>
      </w:pPr>
      <w:r>
        <w:t>Regeste</w:t>
      </w:r>
    </w:p>
    <w:p>
      <w:r>
        <w:t>INFRACTIONS CONTRE LE PATRIMOINE; ABUS DE CONFIANCE; FIXATION DE LA PEINE; PEINE PÉCUNIAIRE | CP.138.1.2; CP.47; CP.34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 arrêt du Tribunal fédéral 6B_784/2011 du 12 mars 2012 consid. 1.1.2).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Dans le cadre du principe de la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w:t>
      </w:r>
    </w:p>
    <w:p>
      <w:r>
        <w:rPr>
          <w:b/>
        </w:rPr>
        <w:t>E. 2.2</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les contrats synallagmatiques ne faisant naître en principe que des prétentions à une contre-prestation et non une obligation de conservation. L'inexécution de l'obligation de reverser une somme ne suffit pas à elle seule pour constituer un abus de confiance (ATF 133 IV 21 consid. 7.2 p. 30 s ; 124 IV 9 , 120 IV 117 ; 118 IV 239 consid. 2b ; arrêts du Tribunal fédéral 6B_233/2013 du 3 juin 2013 consid. 4.2 ; 6B_312/2009 du 17 juillet 2009).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L'emploi illicite d'un bien confié n'est possible qui si celui qui reçoit le bien est tenu à l'égard de celui qui le lui confie de conserver constamment la contre-valeur de ce qu'il a reçu. En cas de prêt accordé dans un but déterminé, ce devoir de l'emprunteur peut être déduit de l'accord conclu avec le prêteur. Dans ce dernier cas, l'emprunteur commet un abus de confiance, vu la destination économique de l'argent, qui en fait une chose confiée (ATF 124 IV 9 consid. 1; ATF 120 IV 117 consid. 2; ATF 86 IV 167 ). Ce qui compte c'est la destination convenue des fonds et l'intérêt pour le prêteur que représente le respect de cette destination, en tant que limite du risque de perte. On peut en déduire que l'utilisation de l'argent prêté contrairement à sa destination convenue peut être constitutive d'un abus de confiance lorsqu'elle est de nature à créer un dommage au prêteur (ATF 129 IV 257 nsid. 2.2.2 et les références citées), la qualification d'abus de confiance à propos d'un prêt impliquant, au demeurant, que la destination convenue des fonds puisse assurer la couverture du risque du prêteur ou, du moins, diminuer son risque de perte (ATF 133IV 21 consid. 6.2 ; ATF 129 IV 257 consid 2.2.2 et 2.3 ; ATF 124 IV 9 consid.1 ; ATF 120 IV 117 consid. 2 ; arrêts du Tribunal fédéral 6B_308/2012 du 4 février 2013 considé 2.2 et 6B_42/2011 du 30 août 2011 consid. 1.3). Du point de vue subjectif, l'auteur doit agir intentionnellement, avec le dessein de se procurer ou de procurer à un tiers un enrichissement illégitime, qui peut être réalisé par dol éventuel (ATF 118 IV 32 consid. 2a). L'enrichissement ne sera pas illégitime si l'auteur y a droit (ou croit qu'il y a droit en raison d'une erreur sur les faits). L'élément subjectif de l'infraction n'est pas donné en cas de capacité de restituer ( Ersatzbereitschaft ), par quoi l'on désigne l'état de l'auteur qui peut justifier d'avoir, dès lors que la créance était exigible, eu à tout moment la volonté et la possibilité de présenter l'équivalent des montant employés (ATF 118 IV 32 consid. 2a). L'abus de confiance prime la gestion déloyale définie à l'art. 158 CP (concours imparfait). L'art. 158 ch. 1 CP entrera cependant seul en considération en cas de comportement contraire au devoir dépourvu de tout dessein d'enrichissement illégitime, si les valeurs litigieuses n'ont pas été confiées à l'auteur, par exemple si ce dernier est un organe de fait ou en cas de gestion sans mandat, ou, enfin, en l'absence d'acte d'appropriation (arrêt du Tribunal fédéral 6S.512/2006 du 5 mars 2007 consid. 9.2 et les références citées). 2.3.1. En l'espèce, les intimés ont versé EUR 50'000.– sur le compte de la société en vertu d'un contrat de prêt et n'ont jamais été remboursés. Il convient donc d'examiner dans le cas particulier si les avoirs avaient été confiés à l'appelant, autrement dit si celui-ci avait l'obligation d'en conserver la contre-valeur. Il n'est pas contesté que le document signé par les parties ne contenait pas de mention expresse quant à l'utilisation des fonds prêtés. Cela dit, contrairement à ce que prétend l'appelant, l'affection des fonds peut être convenue tacitement ou par actes concluants. Or, il ressort des déclarations des parties et des différents témoignages, que le prêt avait été octroyé à la société dans le cadre d'un important projet immobilier, lequel s'inscrivait clairement dans le but poursuivi par celle-ci. Ce montant devait permettre à la société de faire face à ses obligations de trésorerie, en particulier payer la banque, dans l'attente du démarrage d'un projet et de l'encaissement d'une importante somme d'argent, également en relation avec un projet immobilier. L'appelant lui-même, avant de se rétracter, a admis devant la police puis devant le Ministère public que le prêt avait été octroyé en vue du projet de R______. C'est parce que celui-ci avait tardé à démarrer qu'il avait affecté ce montant au paiement d'autres frais. Il est en outre communément admis, et partant tacitement convenu, qu'un prêt consenti à une société doit être utilisé conformément au but social de celle-ci. Il faut donc considérer que le prêt consenti par les époux B______ et C______ l'était avec une destination prédéfinie, soit dans le but de développer l'activité de la société dans le domaine immobilier. Seule cette utilisation devait permettre une rentrée importante d'argent, rendant possible le remboursement rapide de la somme prêtée. La durée courte du prêt constitue d'ailleurs un indice de l'affectation particulière nécessaire du montant. La promesse d'utiliser la somme prêtée dans des projets immobiliers était enfin pour les intimés gage du sérieux de l'opération et de l'absence de risques. Le seul fait que le taux d'intérêt était élevé ne permet pas de considérer que l'affectation des fonds n'avait pas d'importance, ni qu'elle pouvait concerner des dépenses sortant du but social. Ainsi, contrairement à ce que l'appelant tente de soutenir, il n'était pas autorisé à utiliser les fonds prêtés à sa guise, pour des dépenses sortant du cadre des activités premières de la société et mettant en conséquence en péril sa stabilité financière. Les fonds remis par les époux B______ et C______ ont bien été confiés à la société, soit pour elle X______. 2.3.2. Les fonds prêtés ont été presque intégralement retirés du compte de la société en huit jours, et affecté à des fins autres que celles convenues par les parties, soit l'investissement immobilier, ou sortant du but social. L'appelant s'est en effet approprié ces montants pour ses besoins propres, ou ceux d'entités tierces, par exemple en acquittant ses impôts privés, ou en réglant des frais d'essence d'autres sociétés dont il était administrateur, ou encore en acquittant des frais d'acquisition ou d'entretien d'un cheval, alors que la société rencontrait des difficultés financières. Peu importe à cet égard que le contrat ait été négocié par A______. X______ gérait seul l'aspect financier de la société, ce que de nombreux témoins ont confirmé. Peu importe également la nature du contrat liant la société à O______. En conclusion, en utilisant cet argent pour son propre usage ou à d'autres fins que celles prévues, l'appelant a employé sans droit une valeur patrimoniale qui lui était confiée. Les conditions objectives de l'abus de confiance sont donc réalisées. De la sorte, il a employé sans droit, à son profit ou au profit d'un tiers, une valeur patrimoniale au sens de l'art. 138 ch. 1 al. 2 CP. 2.3.3. Le dessein d'enrichissement illégitime est également réalisé, l'appelant s'étant soit enrichi personnellement, soit ayant enrichi des sociétés dont il était ayant-droit économique. Alors même que la société savait devoir tenir à disposition la somme de EUR 27'000.– afin d'honorer la garantie permettant de démarrer le projet de R______ en mars 2009, les fonds n'étaient déjà plus suffisants huit jours après le versement du prêt des intimés, en raison des prélèvements effectués par l'appelant. Cela démontre que, déjà au moment du versement du montant du prêt, l'appelant n'avait nullement l'intention d'utiliser les fonds conformément à la destination convenue ni même de rembourser le prêt à l'échéance du délai. 2.3.4. Par conséquent, tous les éléments constitutifs de l'infraction d'abus de confiance sont réalisés, de sorte que le verdict de culpabilité doit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w:t>
      </w:r>
    </w:p>
    <w:p>
      <w:r>
        <w:rPr>
          <w:b/>
        </w:rPr>
        <w:t>E. 3.2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w:t>
      </w:r>
    </w:p>
    <w:p>
      <w:r>
        <w:rPr>
          <w:b/>
        </w:rPr>
        <w:t>E. 3.3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3.4</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Une peine complémentaire, aussi dite additionnelle,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w:t>
      </w:r>
    </w:p>
    <w:p>
      <w:r>
        <w:rPr>
          <w:b/>
        </w:rPr>
        <w:t>E. 3.5</w:t>
      </w:r>
    </w:p>
    <w:p>
      <w:r>
        <w:t>La peine à laquelle l'appelant a été condamné ne suscite aucune critique. Sa faute est lourde, dans le sens où il n'a pas hésité à impliquer des connaissances d'un partenaire commercial et a abusé de leur confiance. L'appelant savait que son contrat n'était pas valable en ce qui concerne le cautionnement, car son avocat le lui avait dit. Il savait également que le taux d'intérêt convenu était trop élevé et n'avait jamais eu l'intention de le payer, ce qui démontre sa mauvaise foi depuis le début des relations commerciales entre les parties. Il n'a pas hésité à offrir de nombreuses garanties aux intimés pour les inciter à lui confier toutes leurs économies, en sachant pertinemment qu'il ne remplirait pas ses obligations à leur égard. Il n'a pas même pris la peine d'épargner un montant de EUR 27'000.– qu'il ne pouvait ignorer devoir payer à titre de garantie afin de pouvoir commencer les travaux, ce qui a conduit à ce que la société soit évincée du projet et, finalement, à la faillite de l'entreprise. Il a agi par appât du gain et a privilégié les dépenses relatives au maintien de son niveau de vie ou celui de sa fille, en payant ses impôts ou l'entretien des chevaux, plutôt qu'assurer la survie de l'entreprise et permettre le remboursement des montants prêtés. Il a fait preuve de mauvaise foi, prétendant que la société n'avait pas les moyens de payer les charges afférentes à un salaire, mais qu'elle pouvait acheter et entretenir des chevaux. Sa collaboration à l'enquête a été mauvaise. Il n'a donnée que peu d'explications sur l'utilisation des fonds, indiquant d'abord que le prêt avait été accordé en vue d'un projet à R______, puis qu'il l'avait été pour que les administrateurs de la société soient "plus à l'aise" avec la trésorerie de la société, laissant alors entendre que la société n'avait pas de problème de liquidités, puis que le but du prêt était de renflouer la trésorerie de la société. Il a systématiquement minimisé son rôle, notamment par rapport à celui de son associé, alors même qu'il était le seul à gérer les finances de la société. L'appelant n'a en outre entrepris aucune démarche concrète pour restituer aux intimés le montant qu'il leur doit. Il n'a manifesté aucun regret et n'a fait preuve d'aucune prise de conscience par rapport à la gravité de son comportement. Aucune circonstance atténuante ne peut être retenue. Une peine de 90 jours-amende apparaît adéquate vu la faute commise. La quotité du jour-amende, fixé à CHF 100.– compte tenu la situation financière et personnelle actuelle du prévenu, n'est pas contestée. La peine de 90 jours-amende à CHF 100.– par jour infligée en première instance sera confirmée. Les antécédents judiciaires de l'appelant étant postérieurs aux faits qui lui sont reprochés dans le cadre de la présente procédure, on ne saurait dire que le pronostic est défavorable, si bien que le sursis lui sera octroyé. Par ailleurs, la peine prononcée sera complémentaire à celles prononcées les 2 juin 2010 et 18 octobre 2010 par le Ministère public du canton de Genève.</w:t>
      </w:r>
    </w:p>
    <w:p>
      <w:r>
        <w:rPr>
          <w:b/>
        </w:rPr>
        <w:t>E. 5</w:t>
      </w:r>
    </w:p>
    <w:p>
      <w:r>
        <w:t>L'appelant, qui succombe entièrement, sera condamné aux frais de la procédure d'appel comprenant un émolument de jugement de CHF 1'000.–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