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P/11053/2021 vom 17. Januar 2025</w:t>
      </w:r>
    </w:p>
    <w:p>
      <w:r>
        <w:t>GE Cour de justice, 2025-01-17, FR</w:t>
      </w:r>
    </w:p>
    <w:p>
      <w:r>
        <w:rPr>
          <w:b/>
        </w:rPr>
        <w:t xml:space="preserve">Quelle: </w:t>
      </w:r>
      <w:r>
        <w:t>https://mcp.opencaselaw.ch/entscheid/ge_gerichte_P_11053_2021</w:t>
      </w:r>
    </w:p>
    <w:p>
      <w:r>
        <w:t>FR: GE_GERICHTE P/11053/2021 du 17 janvier 2025</w:t>
      </w:r>
    </w:p>
    <w:p>
      <w:r>
        <w:t>IT: GE_GERICHTE P/11053/2021 del 17 gennaio 2025</w:t>
      </w:r>
    </w:p>
    <w:p>
      <w:pPr>
        <w:pStyle w:val="Heading2"/>
      </w:pPr>
      <w:r>
        <w:t>Regeste</w:t>
      </w:r>
    </w:p>
    <w:p>
      <w:r>
        <w:t>SURSIS PARTIEL À L'EXÉCUTION DE LA PEINE;RECTIFICATION DE LA DÉCISION;MISE EN LIBERTÉ DÉFINITIVE | CP.180; LStup.19; LStup.19; LStup.19; CP.139; LCR.90; CP.123; LStup.19a; CP.43; CPP.83.al1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2.2.1.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2.2.2.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et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w:t>
      </w:r>
    </w:p>
    <w:p>
      <w:r>
        <w:rPr>
          <w:b/>
        </w:rPr>
        <w:t>E. 2.3</w:t>
      </w:r>
    </w:p>
    <w:p>
      <w:r>
        <w:t>Le juge impute sur la peine la détention avant jugement subie par l'auteur dans le cadre de l'affaire qui vient d'être jugée ou d'une autre procédure (art. 51 CP). À l'instar de la détention avant jugement, les mesures de substitution doivent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w:t>
      </w:r>
    </w:p>
    <w:p>
      <w:r>
        <w:rPr>
          <w:b/>
        </w:rPr>
        <w:t>E. 2.4</w:t>
      </w:r>
    </w:p>
    <w:p>
      <w:r>
        <w:t>L'appelant ne conteste, à raison, ni la nature ni la quotité de la peine, de sorte qu'il sera renvoyé aux considérants du jugement de première instance sur ces points que la Cour fait siens (art. 82 al. 4 CPP). 2.5.1. Comme souligné par le MP, la situation de l'appelant demeure préoccupante, en particulier au vu des réserves évoquées par sa psychothérapeute sur l'interruption du suivi, l'intéressé ayant un discours banalisant sur la gravité de sa dépendance et devant davantage travailler en profondeur les problématiques relationnelles, étant rappelé que son parcours est marqué par des interactions empreintes de violence avec ses compagnes. De même, la victimisation, ou à tout le moins la tendance à reporter la responsabilité de ses actions sur autrui, sur la toxicomanie ou sur des circonstances extérieures est encore marquée, référence étant faite aux causes (médicaments, stress, difficulté à se reconnaître dans ses agissements) par lesquelles il a expliqué son positionnement lors des débats de première instance. La consommation, à plusieurs reprises, de haschisch en, et malgré, la détention ne peut aussi qu'interpeller. Cela étant, il est indéniable que la situation a, depuis les débats de première instance, et manifestement au moins en grande partie grâce à leur issue, évolué favorablement. L'appelant reconnaît désormais l'ensemble des faits reprochés et s'est résigné à l'idée de la mesure d'expulsion, mettant en place un projet de retour en Espagne ; il a renoué avec plusieurs membres de sa famille. Son comportement en détention est bon, à teneur du PES, sous réserve de la consommation sus-évoquée. Il peut ainsi être admis que la prise de conscience, si elle n'est ni complète, ni profonde, est néanmoins bien entamée. Comme l'appelant l'expose, signe d'une réflexion, ce retour en Espagne pourrait être pour lui le moyen de s'extraire du milieu de la toxicomanie, qui était exclusivement le sien à Genève, et partant contribuer à concrétiser définitivement son intention de guérir de la dépendance, soit écarter deux facteurs particulièrement criminogènes. Le projet est réaliste, puisque l'intéressé bénéficiera d'un logement, d'un revenu (rente AI) et d'attaches familiales a priori soutenantes. Un autre élément favorable est la durée de la détention à ce jour, expérience qui devrait avoir marqué l'intéressé, outre favorisé son abstinence, à tout le moins aux substances dites " dures ". Dans ces circonstances, le pronostic, dont les premiers juges avaient à raison considéré qu'il était défavorable au regard des circonstances à la date du prononcé de leur verdict, ne l'est plus. Pour autant, ce pronostic demeure incertain au vu du dossier, soit en définitive du parcours de l'intéressé, et des signaux d'alerte résultant du PES. Le plus important est celui de l'interruption du suivi psychologique, l'appelant considérant avoir " fait le tour " de la question. Il a certes affirmé devant la Cour qu'il était conscient de ce que ce n'était pas le cas et de ce qu'il avait besoin d'un suivi thérapeutique pour véritablement surmonter sa toxicomanie, mais à ce stade, on ne dispose que de ses dires. Quand bien même ils sont sans doute sincères, on ignore s'il aura la capacité de concrétiser ses intentions. Son attention est donc attirée sur le fait qu'un tel suivi est indispensable. En particulier, il ne peut raisonnablement penser se reposer sur son seul entourage familial, avec lequel il vient du reste à peine de renouer, des compétences professionnelles et une certaine distance des personnes assurant l'encadrement étant nécessaires. En définitive, il appert qu'à ce jour, le pronostic n'est plus défavorable, alors que les conditions objectives d'octroi du sursis partiel sont réalisées. 2.5.2 . Vu la gravité des infractions commises et les incertitudes qui demeurent, la partie ferme de la peine sera arrêtée à 18 mois et le délai d'épreuve à quatre ans (art. 43 al. 1 et art. 44 al. 1 CP).</w:t>
      </w:r>
    </w:p>
    <w:p>
      <w:r>
        <w:rPr>
          <w:b/>
        </w:rPr>
        <w:t>E. 3.1</w:t>
      </w:r>
    </w:p>
    <w:p>
      <w:r>
        <w:t>Bien que l'appelant obtienne gain de cause, les frais de la procédure d'appel, dont un émolument d'arrêt de CHF 1'500.-, seront mis à sa charge, dans la mesure où les conditions qui lui ont permis d'obtenir gain de cause, soit l'évolution de son pronostic en lien avec l'amélioration de sa situation personnelle et la concrétisation de ses projets en Espagne, n'ont été réalisées que dans la procédure d'appel (art. 428 al. 2 let. a CPP). Pour la même raison, l'émolument complémentaire de jugement de première instance de CHF 3'000.- sera laissé à sa charge.</w:t>
      </w:r>
    </w:p>
    <w:p>
      <w:r>
        <w:rPr>
          <w:b/>
        </w:rPr>
        <w:t>E. 3.2</w:t>
      </w:r>
    </w:p>
    <w:p>
      <w:r>
        <w:t>Dans la mesure où l'appelant ne conteste pas les actes qui ont conduit au verdict de culpabilité et que l'admission de son appel porte sur un point qui n'a engendré aucun frais dans le cadre de la procédure préliminaire ou de première instance, il n'y a pas lieu de modifier la répartition des frais fixée par les premiers juges (art. 426 al. 1 et 428 al. 3 CPP).</w:t>
      </w:r>
    </w:p>
    <w:p>
      <w:r>
        <w:rPr>
          <w:b/>
        </w:rPr>
        <w:t>E. 4</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un chef d'étude, dite rémunération étant allouée d'office par la juridiction d'appel pour les débats idoines.</w:t>
      </w:r>
    </w:p>
    <w:p>
      <w:r>
        <w:rPr>
          <w:b/>
        </w:rPr>
        <w:t>E. 4.4</w:t>
      </w:r>
    </w:p>
    <w:p>
      <w:r>
        <w:t>Il convient de retrancher de l'état de frais du défenseur d'office le temps prévu pour la visite au client postérieurement aux débats d'appel, laquelle ne relève pas de sa défense. Par ailleurs, le temps consacré à l'étude du dossier et/ou à la préparation du dossier sera réduite de deux heures, ce qui tient compte du fait que l'avocat connaissait le dossier pour l'avoir plaidé en première instance et que l'enjeu d'appel était circonscrit à la question de la fixation de la peine. En conclusion, la rémunération sera arrêtée à CHF 2'594.- correspondant à dix heures d'activité au tarif de CHF 200.-/heure (CHF 2'000.-) plus la majoration forfaitaire de 10%, vu l'activité déjà indemnisée (CHF 200.-), deux forfaits de déplacement (CHF 200.-) et l'équivalent de la TVA au taux de 8.1% (CHF 194.-).</w:t>
      </w:r>
    </w:p>
    <w:p>
      <w:r>
        <w:rPr>
          <w:b/>
        </w:rPr>
        <w:t>E. 5</w:t>
      </w:r>
    </w:p>
    <w:p>
      <w:r>
        <w:t>Une erreur de calcul s'est glissée dans le dispositif notifié à l'issue des débats dans la mesure où 799 jours de détention avant jugement ont été déduits de la peine privative de liberté prononcée, alors que le condamné avait effectué 827 jours de détention à cette date, dont 231 jours d'exécution anticipée de peine. Cette erreur sera partant rectifiée, conformément à la requête du condamné, dans le présent dispositif (art. 83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