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P/10890/2013 vom 18. Dezember 2015</w:t>
      </w:r>
    </w:p>
    <w:p>
      <w:r>
        <w:t>GE Cour de justice, 2015-12-18, FR</w:t>
      </w:r>
    </w:p>
    <w:p>
      <w:r>
        <w:rPr>
          <w:b/>
        </w:rPr>
        <w:t xml:space="preserve">Quelle: </w:t>
      </w:r>
      <w:r>
        <w:t>https://mcp.opencaselaw.ch/entscheid/ge_gerichte_P_10890_2013</w:t>
      </w:r>
    </w:p>
    <w:p>
      <w:r>
        <w:t>FR: GE_GERICHTE P/10890/2013 du 18 décembre 2015</w:t>
      </w:r>
    </w:p>
    <w:p>
      <w:r>
        <w:t>IT: GE_GERICHTE P/10890/2013 del 18 dicembre 2015</w:t>
      </w:r>
    </w:p>
    <w:p>
      <w:pPr>
        <w:pStyle w:val="Heading2"/>
      </w:pPr>
      <w:r>
        <w:t>Regeste</w:t>
      </w:r>
    </w:p>
    <w:p>
      <w:r>
        <w:t>REPENTIR SINCÈRE; ATTÉNUATION DE LA PEINE; DISPOSITIONS PÉNALES DE LA LSTUP; SURSIS À L'EXÉCUTION DE LA PEINE; FIXATION DE LA PEINE; DÉPENS; INDEMNITÉ(EN GÉNÉRAL); FRAIS JUDICIAIRES; SURSIS PARTIEL À L'EXÉCUTION DE LA PEINE | LStup.19.3.b; CP.47; CP.48.d; CP.42.1; CP.43; CPP.429.1.a; CPP.436.2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L'appelant ne conteste plus sa culpabilité pour l'ensemble des faits qui lui sont reprochés dans l'acte d'accusation, ni sa condamnation pour infraction grave à la LStup. La culpabilité de l'appelant telle que retenue par les premiers juges sera ainsi confirmée, les conditions posées par l'art. 19 al. 2 let. a LStup étant réalisées eu égard à la jurisprudence et à la doctrine applicables à l'aggravante de la quantité de cocaïne (ATF 109 IV 143 consid. 3b p. 145 ; arrêt du Tribunal fédéral 6B_632/2008 du 10 mars 2009 consid. 2 ; B. CORBOZ, Les infractions en droit suisse , 3 e édition, Berne 2010, vol. II, n. 81 p. 917).</w:t>
      </w:r>
    </w:p>
    <w:p>
      <w:r>
        <w:rPr>
          <w:b/>
        </w:rPr>
        <w:t>E. 2.2</w:t>
      </w:r>
    </w:p>
    <w:p>
      <w:r>
        <w:t>L'appelant reproche aux premiers juges de ne pas avoir fait application de l'atténuante visée à l'art. 19 al. 3 let. b LStup qu'il avait pourtant plaidée.</w:t>
      </w:r>
    </w:p>
    <w:p>
      <w:r>
        <w:rPr>
          <w:b/>
        </w:rPr>
        <w:t>E. 2.2.1</w:t>
      </w:r>
    </w:p>
    <w:p>
      <w:r>
        <w:t>Aux termes de l'art. 19 al. 3 let. b LStup, dans sa version en vigueur depuis le 1 er juillet 2011, le tribunal peut atténuer librement la peine dans le cas d'une infraction visée à l'art. 19 al. 2 LStup, si l'auteur est dépendant et que cette infraction aurait dû servir au financement de sa propre consommation. Pour bénéficier de cette disposition, l'auteur doit être toxico-dépendant et non seulement consommateur, comme c'est souvent le cas pour les trafiquants de cocaïne (Initiative parlementaire, révision partielle de la loi sur les stupéfiants, rapport de la Commission de la sécurité sociale et de la santé publique du Conseil national, FF 2006 p. 8141 ss, p. 8179 ch. 3.1.11.3 ad art. 19 al. 4 projet LStup ; arrêt du Tribunal fédéral 6B_858/2014 du 19 mai 2015 consid. 2.2). La Commission précitée renvoie, pour distinguer consommateurs et personnes dépendantes, aux critères développés dans la classification statistique internationale des maladies et des problèmes de santé connexes établie par l'OMS (CIM-10). Selon le chapitre F 14 du CIM-10, qui traite des "troubles mentaux et du comportement liés à l'utilisation de la cocaïne", le symptôme de dépendance est décrit comme un ensemble de phénomènes comportementaux, cognitifs et physiologiques survenant à la suite d'une consommation répétée d'une substance psycho-active, typiquement associés à un désir puissant de prendre de la drogue, à une difficulté de contrôler la consommation, à une poursuite de la consommation malgré des conséquences nocives, à un désinvestissement progressif des autres activités et obligations au profit de la consommation de cette drogue, à une tolérance accrue, et, parfois, à un syndrome de sevrage physique toxicomanie (arrêt ibidem ). L'art. 19 al. 3 let. b LStup n'est en outre applicable que si le trafic de drogue de l'auteur finance exclusivement sa propre toxicomanie (FF 2006 et arrêt ibidem ).</w:t>
      </w:r>
    </w:p>
    <w:p>
      <w:r>
        <w:rPr>
          <w:b/>
        </w:rPr>
        <w:t>E. 2.2.2</w:t>
      </w:r>
    </w:p>
    <w:p>
      <w:r>
        <w:t>L'appelant ne remplit manifestement pas les critères stricts posés par la jurisprudence pour pouvoir bénéficier de cette atténuante. Il a lui-même admis qu'il était devenu abstinent le jour de son arrestation, ce qui conduit à penser qu'aucun sevrage physique ne lui a été imposé par le service médical de Champ-Dollon. Son parcours de vie avant son interpellation va dans le même sens, puisqu'il faisait face à ses obligations sociales et financières de la vie courante, notamment en s'acquittant des charges telle celle du loyer. Sa mère a certes témoigné de ses relations difficiles durant cette période, sans qu'elle n'ait prétendu que son fils fût en perdition ou à la rue. L'appelant ne peut ainsi être considéré comme toxico-dépendant au sens des exigences posées par la jurisprudence, aucune expertise n'ayant d'ailleurs été sollicitée en ce sens. L'autre motif conduisant au rejet de l'atténuante de l'art. 19 al. 3 let. b LStup tient au fait que le trafic dont l'appelant a été l'auteur n'était pas exclusivement destiné à sa propre consommation, ce qu'il a d'ailleurs reconnu en expliquant avoir dû assurer le financement de son trafic par des ventes à des tiers. L'appelant a reconnu de manière générale avoir acquis et/ou détenu de la cocaïne destinée à la vente (ch. B. I.1.4 et B. I.5.1). Dans trois transactions, l'appelant a spécifié les quantités revenudes, soit 75 grammes à divers consommateurs non identifiés (ch. B. I.2.1), 100 et respectivement 220 grammes à un client non identifié (ch. B. I.2.2 et B I.2.3). Il s'ensuit que l'appelant sera débouté de son appel sur ce point.</w:t>
      </w:r>
    </w:p>
    <w:p>
      <w:r>
        <w:rPr>
          <w:b/>
        </w:rPr>
        <w:t>E. 3.1</w:t>
      </w:r>
    </w:p>
    <w:p>
      <w:r>
        <w:t>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3.3</w:t>
      </w:r>
    </w:p>
    <w:p>
      <w:r>
        <w:t>Dans l'exercice de son pouvoir d'appréciation, le juge doit respecter, en particulier, le principe d'égalité de traitement (art. 8 al. 1 de la Constitution fédérale de la Confédération, suisse du 18 avril 1999 (Cst. - RS 101)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w:t>
      </w:r>
    </w:p>
    <w:p>
      <w:r>
        <w:rPr>
          <w:b/>
        </w:rPr>
        <w:t>E. 3.4</w:t>
      </w:r>
    </w:p>
    <w:p>
      <w:r>
        <w:t>Selon l'art. 48 let. d CP, le juge atténue la peine si l'auteur a manifesté par des actes un repentir sincère, notamment s'il a réparé le dommage autant qu'on pouvait l'attendre de lui. Cette circonstance atténuante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 3.5.1 Sur le plan objectif, seules les peines de six mois à deux ans peuvent être assorties du sursis total (cf. art. 42 al. 1 CP). Le cadre élargi défini par le nouveau droit pour la fixation de la peine ne justifie plus une relativisation de la limite légale permettant l'octroi du sursis ou du sursis partiel (ATF 134 IV 17 ,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Le pronostic doit être posé selon les mêmes critères que sous l'ancien droit. 3.5.2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 (ATF 134 IV 1 consid. 5.3.1 p. 10).</w:t>
      </w:r>
    </w:p>
    <w:p>
      <w:r>
        <w:rPr>
          <w:b/>
        </w:rPr>
        <w:t>E. 3.6</w:t>
      </w:r>
    </w:p>
    <w:p>
      <w:r>
        <w:t>La faute de l'appelant est lourde, dans le sens où rien ne le prédestinait à commettre des actes illicites. Il avait assurément d'autres choix, même si on peut comprendre sa déception à l'idée de ne pas pouvoir réaliser son rêve de jeunesse. Il a agi durant une période relativement courte pour les faits les plus graves. Son implication dans le trafic de cannabis s'est en revanche étendue sur plusieurs années, avec un pic concomitant à son implication dans le trafic de cocaïne. La brève période pénale du trafic de cocaïne tranche avec une forte intensité délictueuse, l'appelant n'ayant pas hésité à multiplier les transactions dans un laps de temps inférieur à trois mois. Les quantités de cocaïne sur lesquelles a porté le trafic sont conséquentes et l'action de l'appelant déterminée. Plusieurs éléments positifs viennent contrebalancer les signaux négatifs que révèle l'importance de la faute commise. La trajectoire de l'appelant n'est pas celle d'un trafiquant dont la seule activité se résume à ses actes illicites. Certes, l'appât du gain a été l'un des moteurs de ses actes, sans qu'il ne soit exclusif, l'appelant devant chercher des sources de financement de sa consommation de plus en plus soutenue de cocaïne. Celle-là est d'ailleurs un facteur atténuant de la peine, même si l'appelant n'était pas toxico-dépendant au sens des exigences du législateur. Depuis le début de l'année en cours, l'appelant apporte la preuve de sa capacité à assumer des responsabilités professionnelles et de son sérieux dans ses choix de vie. Il fait face au défi que représente la réinsertion après une période de détention, à la fois sur les plans personnel et professionnel. Sa prise de conscience est forte, au point que la juridiction d'appel ne doute guère des constats que porte sa mère sur sa personne. Cette prise de conscience se conjugue avec une collaboration avec les autorités policières. Dès ses premiers interrogatoires, l'appelant ne s'est pas contenté de reconnaître le flagrant délit mais a mentionné l'existence de transactions antérieures, n'hésitant pas à fournir des éléments propres à faire avancer l'enquête. Par ses mises en cause, l'appelant a provoqué l'interpellation de l'intimé C______ qui a, peu ou prou, admis l'exactitude de l'implication des participants au trafic de la manière décrite. Avec son soutien, l'appelant a résisté aux dénégations et aux pressions émanant du fournisseur qui a nié jusque devant les premiers juges sa propre implication. L'excellente collaboration de l'appelant ne conduit toutefois pas la CPAR à lui accorder le bénéfice du repentir sincère. Il y a tout d'abord lieu de relativiser la portée de ses aveux, dans la mesure où l'appelant savait que les recherches sur la téléphonie permettraient tôt ou tard de révéler la nature de ses liens antérieurs avec ses deux comparses. Au demeurant, l'appelant n'est pas allé jusqu'au bout de sa démarche, restant vague et discret sur la personne de son commanditaire. Il a refusé de le désigner autrement que par le nom d'une "connaissance", ce qui n'a pas permis à la police de remonter à la source du trafic. Les efforts auxquels il a consenti, même s'ils ne peuvent être tenus pour particulièrement méritoires au sens des exigences de la jurisprudence, seront toutefois pris en compte dans le cadre de la fixation de la peine. Le code pénal impose aux autorités de jugement de tenir compte de l'effet de la peine sur l'avenir du délinquant. Or, un retour en prison ferait à coup sûr perdre son emploi à l'appelant, ce qui serait paradoxalement aussi un coup dur pour son employeur qui compte sur lui. Une telle décision serait fatale en termes d'emploi même dans l'hypothèse improbable d'une peine purgée en semi-détention, le retour dans un lieu de détention pour la nuit n'étant pas compatible avec les exigences horaires d'un établissement public. Dans les critères de fixation de la peine interviennent la prise de conscience de l'appelant, sa collaboration et le respect de l'égalité de traitement. A cet égard, force est de constater que la peine infligée à l'intimé E______, inférieure à celle de l'appelant, est incompréhensible, même en tenant compte de sa spécificité (peine complémentaire). L'implication de l'intimé dans le trafic de cocaïne est au mieux équivalente à celle de l'appelant, son rôle de vendeur n'étant en tout cas pas moindre que celui d'acheteur. Sa collaboration à l'instruction a été exécrable et ses antécédents judiciaires sont plus fournis que ceux de l'appelant, certes pour des délits non spécifiques – mais c'est aussi le cas de l'appelant –, et avec des peines beaucoup plus lourdes que des peines pécuniaires. L'implication supplémentaire de l'appelant dans un trafic de marijuana, même étendu sur plusieurs années, ne saurait être déterminante pour justifier une telle différence de traitement. La fixation de la sanction à 24 mois de peine privative de liberté respecte la jurisprudence du Tribunal fédéral, une telle peine étant soutenable au regard de l'ensemble des éléments à prendre en compte, tels qu'ils ressortent des développements susmentionnés.</w:t>
      </w:r>
    </w:p>
    <w:p>
      <w:r>
        <w:rPr>
          <w:b/>
        </w:rPr>
        <w:t>E. 3.7</w:t>
      </w:r>
    </w:p>
    <w:p>
      <w:r>
        <w:t>Le sursis est acquis à l'appelant, le Ministère public n'ayant pas appelé du jugement. Il importe peu à cet égard qu'il ait acquiescé à un sursis partiel plutôt que complet, les conditions posées par la loi pour l'octroi du sursis n'étant pas différentes. Un sursis complet s'impose dans le cas d'espèce, aucun motif ne commandant que l'appelant ne purge encore une partie de sa peine à des fins de prévention spéciale. Il a su redonner du sens à sa réorientation professionnelle après sa libération provisoire. Rien ne permet de conclure, plus de deux ans après, que sa situation impose un retour en prison, même pour une courte période, qui serait hautement invalidante pour son statut professionnel. Pour prévenir toute velléité de rechute et en lien avec les antécédents de l'appelant, même non spécifiques, un délai d'épreuve plus long que le minimum posé par l'art. 44 CP lui sera imposé. Le jugement entrepris sera ainsi réformé, en tant que l'appelant sera condamné à une peine privative de liberté de deux ans, le délai d'épreuve étant fixé à 3 ans.</w:t>
      </w:r>
    </w:p>
    <w:p>
      <w:r>
        <w:rPr>
          <w:b/>
        </w:rPr>
        <w:t>E. 4</w:t>
      </w:r>
    </w:p>
    <w:p>
      <w:r>
        <w:t>4.1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Selon l'art. 436 al. 2 CPP, le prévenu a droit à une juste indemnité pour ses dépenses si ni un acquittement total ou partiel, ni un classement de la procédure ne sont prononcés mais qu'il obtient gain de cause sur d'autres points. L'indemnisation pour frais de défense, au sens des art. 429 al. 1 let. a et 436 al. 2 CPP, vise les frais de la défense de choix, ceux de la défense d'office relevant des frais de procédure en vertu de l'art. 422 al. 2 let. a CPP (ATF 138 IV 205 consid. 1 p. 206 ; arrêt du Tribunal fédéral 6B_144/2012 du 16 août 2012 consid. 1.2 ; M. NIGGLI / M. HEER / H. WIPRÄCHTIGER, Schweizerische Strafprozessordnung / Schweizerische Jugendstrafprozessordnung, Basler Kommentar StPO/JStPO , Bâle 2011, n. 12 ad art. 429 ; ACPR/41/2012 du 30 janvier 2012).</w:t>
      </w:r>
    </w:p>
    <w:p>
      <w:r>
        <w:rPr>
          <w:b/>
        </w:rPr>
        <w:t>E. 4.2</w:t>
      </w:r>
    </w:p>
    <w:p>
      <w:r>
        <w:t>L'appelant ne bénéficie pas d'un acquittement, même partiel, mais il obtient gain de cause sur le plan de la peine. Il se justifie ainsi de prendre partiellement en charge la note des frais et honoraires présentée par M e B______. Une quote-part fixée approximativement aux deux tiers paraît équitable, ce qui conduit la CPAR à fixer l'indemnité due à l'appelant pour ses frais de défense à CHF 7'000.-.</w:t>
      </w:r>
    </w:p>
    <w:p>
      <w:r>
        <w:rPr>
          <w:b/>
        </w:rPr>
        <w:t>E. 5</w:t>
      </w:r>
    </w:p>
    <w:p>
      <w:r>
        <w:t>L'appelant, qui succombe partiellement, supportera la moitié des frais de la procédure envers l'État (art. 428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