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P/10832/2022 vom 26. September 2022</w:t>
      </w:r>
    </w:p>
    <w:p>
      <w:r>
        <w:t>GE Cour de justice, 2022-09-26, FR</w:t>
      </w:r>
    </w:p>
    <w:p>
      <w:r>
        <w:rPr>
          <w:b/>
        </w:rPr>
        <w:t xml:space="preserve">Quelle: </w:t>
      </w:r>
      <w:r>
        <w:t>https://mcp.opencaselaw.ch/entscheid/ge_gerichte_P_10832_2022</w:t>
      </w:r>
    </w:p>
    <w:p>
      <w:r>
        <w:t>FR: GE_GERICHTE P/10832/2022 du 26 septembre 2022</w:t>
      </w:r>
    </w:p>
    <w:p>
      <w:r>
        <w:t>IT: GE_GERICHTE P/10832/2022 del 26 settembre 2022</w:t>
      </w:r>
    </w:p>
    <w:p>
      <w:pPr>
        <w:pStyle w:val="Heading2"/>
      </w:pPr>
      <w:r>
        <w:t>Regeste</w:t>
      </w:r>
    </w:p>
    <w:p>
      <w:r>
        <w:t>SOUPÇON;CHOSE CONFIÉE;ACOMPTE;MAÎTRE DE L'OUVRAGE;CONTRAT D'ENTREPRISE | CPP.310</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310 al. 2, 322 al. 2 et 393 al. 1 let. a CPP) et émaner de la partie plaignante qui, partie à la procédure (art. 104 al. 1 let. b CPP), a qualité pour agir, ayant un intérêt juridiquement protégé à la modification ou à l'annulation de la décision querellée (art. 382 al. 1 CPP).![endif]&gt;![if&gt;</w:t>
      </w:r>
    </w:p>
    <w:p>
      <w:r>
        <w:rPr>
          <w:b/>
        </w:rPr>
        <w:t>E. 2</w:t>
      </w:r>
    </w:p>
    <w:p>
      <w:r>
        <w:t>À titre liminaire, on chercherait en vain, y compris dans la plainte pénale, un grief précis d'une infraction qu'aurait commise l'architecte initialement visée, sauf à lui faire grief de n'avoir pas transmis tout le dossier et les plans en sa possession. Toutes les critiques de la recourante se concentrent, en réalité, sur les administrateurs de l'entreprise générale, comme le montrent les développements dans la partie en droit de l'acte de recours. Aussi cette architecte doit-elle être mise d'emblée hors de cause.![endif]&gt;![if&gt;</w:t>
      </w:r>
    </w:p>
    <w:p>
      <w:r>
        <w:rPr>
          <w:b/>
        </w:rPr>
        <w:t>E. 3</w:t>
      </w:r>
    </w:p>
    <w:p>
      <w:r>
        <w:t>La recourante estime que le Ministère public a pris sa décision en violation du principe in dubio pro duriore .![endif]&gt;![if&gt;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 Celui-ci découle du principe de la légalité (art. 5 al. 1 Cst. et art. 2 al. 2 CPP en relation avec les art. 319 al. 1 et 324 al. 1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w:t>
      </w:r>
    </w:p>
    <w:p>
      <w:r>
        <w:rPr>
          <w:b/>
        </w:rPr>
        <w:t>E. 4</w:t>
      </w:r>
    </w:p>
    <w:p>
      <w:r>
        <w:t>Faute de faillite de l'entreprise mise en cause, la prévention de gestion fautive (art. 165 CP) peut être écartée d'emblée, en l'état, quand bien même la recourante affirme que la société serait percluse de dettes et que le dernier administrateur en place cherchait à la liquider. La faillite est, en effet, une condition objective de punissabilité de l'infraction considérée (arrêt du Tribunal fédéral 6B_829/2019 du 21 octobre 2019 consid. 2.3.).![endif]&gt;![if&gt;</w:t>
      </w:r>
    </w:p>
    <w:p>
      <w:r>
        <w:rPr>
          <w:b/>
        </w:rPr>
        <w:t>E. 5</w:t>
      </w:r>
    </w:p>
    <w:p>
      <w:r>
        <w:t>Bien que le texte de la plainte pénale n'ait jamais comporté de référence, même implicite, à l'art. 152 CP, le Ministère public s'est prononcé sur cette infraction, que la recourante reprend à son compte dans son acte de recours.![endif]&gt;![if&gt; Le comportement typique de l'infraction consiste à renseigner fallacieusement le public ou un cercle de personnes dont la recourante ne fait manifestement pas partie. Le grief est infondé.</w:t>
      </w:r>
    </w:p>
    <w:p>
      <w:r>
        <w:rPr>
          <w:b/>
        </w:rPr>
        <w:t>E. 6</w:t>
      </w:r>
    </w:p>
    <w:p>
      <w:r>
        <w:t>La recourante s'estime victime d'abus de confiance, voire d'escroquerie et de gestion déloyale.![endif]&gt;![if&gt;</w:t>
      </w:r>
    </w:p>
    <w:p>
      <w:r>
        <w:rPr>
          <w:b/>
        </w:rPr>
        <w:t>E. 6.1</w:t>
      </w:r>
    </w:p>
    <w:p>
      <w:r>
        <w:t>Selon l'art. 138 ch. 1 al. 1 CP, commet un abus de confiance celui qui, pour se procurer ou procurer à un tiers un enrichissement illégitime, se sera approprié une chose mobilière appartenant à autrui et qui lui avait été confiée. S'agissant du transfert d'une somme d'argent, on peut concevoir deux hypothèses : soit les fonds sont confiés à l'auteur par celui qui les lui remet, soit les fonds sont confiés par celui en faveur duquel l'auteur les encaisse. Pour que l'on puisse parler d'une somme confiée, il faut cependant que l'auteur agisse comme auxiliaire du paiement ou de l'encaissement, en tant que représentant direct ou indirect, notamment comme employé d'une entreprise, organe d'une personne morale ou fiduciaire. Cette condition n'est pas remplie lorsque l'auteur reçoit l'argent pour lui-même, en contrepartie d'une prestation qu'il a fournie pour son propre compte, même s'il doit ensuite verser une somme équivalente sur la base d'un rapport juridique distinct. L'inexécution de l'obligation de reverser une somme ne suffit pas à elle seule pour constituer un abus de confiance (ATF 118 IV 239 consid. 2b, spéc. p. 241 s. et les références citées). Les contrats synallagmatiques ne font naître en principe que des prétentions à une contre-prestation, et non une obligation de conservation. Il n'y a ainsi pas de valeur confiée lorsqu'une partie à un contrat reçoit de l'argent pour son propre compte, en contre-partie d'une prestation qu'elle doit elle-même fournir (ATF 133 IV 21 consid. 7.2 p. 30 s, arrêt du Tribunal fédéral 6B_312/2009 du 17 juillet 2009). Une chose obtenue par l'auteur à la faveur d'une tromperie ne lui est en règle générale pas confiée. Il en va en revanche différemment lorsque cette tromperie a précisément eu pour but que la victime confie ce bien à l'auteur (ATF 133 IV 21 consid. 6.2 p. 29, 117 IV 429 consid. 3c p. 436).![endif]&gt;![if&gt;</w:t>
      </w:r>
    </w:p>
    <w:p>
      <w:r>
        <w:rPr>
          <w:b/>
        </w:rPr>
        <w:t>E. 6.2</w:t>
      </w:r>
    </w:p>
    <w:p>
      <w:r>
        <w:t>Celui qui promet une prestation sans avoir l'intention de l'exécuter agit astucieusement, au sens de l'art. 146 CP, parce qu'en promettant, il donne le change sur ses véritables intentions, ce que sa victime est dans l'impossibilité de vérifier (ATF 118 IV 359 consid. 2 p. 360 s.). Une tromperie sur la volonté affichée n'est cependant pas astucieuse dans tous les cas, mais seulement lorsque l'examen de la solvabilité n'est pas exigible ou est impossible et qu'il ne peut par conséquent être tiré aucune conclusion quant à la volonté de l'auteur de s'exécuter (ATF 125 IV 124 consid. 3a). La jurisprudence vise notamment les cas d'opérations courantes de faible valeur, pour lesquelles une vérification entraînerait des frais ou une perte de temps disproportionnée ou ne peut être exigée pour des raisons commerciales (arrêts du Tribunal fédéral 6B_501/2014 du 27 octobre 2014 consid. 2.1; 6B_783/2009 du 12 janvier 2010 consid. 3.1).![endif]&gt;![if&gt;</w:t>
      </w:r>
    </w:p>
    <w:p>
      <w:r>
        <w:rPr>
          <w:b/>
        </w:rPr>
        <w:t>E. 6.3</w:t>
      </w:r>
    </w:p>
    <w:p>
      <w:r>
        <w:t>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Revêt la qualité de gérant celui à qui il incombe, de fait ou formellement, la responsabilité d'administrer un complexe patrimonial non négligeable dans l'intérêt d'autrui (ATF 142 IV 346 consid. 3.2 p. 350; 129 IV 124 consid. 3.1 p. 126).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142 IV 346 consid. 3.2 p. 350; 123 IV 17 consid. 3b p. 21).![endif]&gt;![if&gt;</w:t>
      </w:r>
    </w:p>
    <w:p>
      <w:r>
        <w:rPr>
          <w:b/>
        </w:rPr>
        <w:t>E. 6.4</w:t>
      </w:r>
    </w:p>
    <w:p>
      <w:r>
        <w:t>Selon la jurisprudence, l'entrepreneur général s'engage à l'égard du maître à réaliser la totalité d'un ouvrage ou d'une partie d'ouvrage en prenant la place des différents entrepreneurs partiels qui sont chargés de prestations spécifiques; l'entrepreneur total est chargé pour sa part, en plus des tâches de l'entrepreneur général, de l'établissement des études de projets et des plans (ATF 114 II 53 consid. 2a p. 54 s.). D'après la jurisprudence, si le propriétaire du bien-fonds considéré s'est entièrement acquitté de sa dette envers l'entrepreneur général, seul s'éteint le droit de celui-ci de requérir l'inscription d'une hypothèque légale des artisans et entrepreneurs, le sous-traitant conservant la faculté de requérir cette garantie réelle tant que l'entrepreneur général ne l'a pas désintéressé (ATF 105 II 264 consid. 2 p. 267; 104 II 348 consid. III/3a; 95 II 87 consid. 3 p. 90). Au cas où l'entrepreneur général ne s'acquitte pas de son obligation de rémunérer le sous-traitant, le propriétaire risque d'être contraint de devoir payer une seconde fois la facture dudit sous-traitant dont les prestations étaient pourtant comprises dans le prix versé à l'entrepreneur général (ATF 111 III 8 consid. 3b p. 11; 104 II 348 consid. III/3a; 95 II 87 consid. 4 p. 90 à 92).![endif]&gt;![if&gt;</w:t>
      </w:r>
    </w:p>
    <w:p>
      <w:r>
        <w:rPr>
          <w:b/>
        </w:rPr>
        <w:t>E. 6.5</w:t>
      </w:r>
    </w:p>
    <w:p>
      <w:r>
        <w:t>À la lumière de ces principes, la recourante n'a pas chargé C______ S.A. de gérer tout ou partie de son patrimoine, mais de réaliser et de livrer des appartements en choisissant pour elle les sous-traitants de son choix. Un contrat tel que celui-ci, d'entreprise au sens des art. 363 ss. CO, ne s'assimile pas à un mandat de gestion de fortune, par exemple, qui confère typiquement à celui qui s'en charge la qualité de gérant au sens de l'art. 158 CP (cf. ATF 120 IV 190 consid. 2b p. 192).![endif]&gt;![if&gt; La recourante s'en est remise de façon discrétionnaire à C______ S.A., n'ayant aucun droit de regard sur le choix des sous-traitants par celle-ci et s'étant uniquement engagée à lui payer des acomptes successifs sur un compte bancaire qu'elle ouvrirait à cette fin. À cet égard, le contrat prévoit expressément, en son art. 4.4, que ce compte ne pourra être utilisé, " conformément aux engagements entre la banque et l'entreprise générale ", que dans le cadre de la construction convenue, pour les paiements des factures des sous-traitants. Par ailleurs, le contrat prévoit aussi expressément que ces paiements s'effectueraient " directement " sur un compte " miroir " de l'entreprise générale. La clause stipulée à l'art. 4.4 exprime un engagement d'affectation, pris par l'entreprise générale envers la recourante. Or, les allégués et pièces du dossier ne sont pas dénués d'indices selon lesquels les acomptes versés par celle-ci pourraient avoir connu une autre fin que le paiement des sous-traitants et avoir été détournés sous la forme de possibles abus de confiance (cf. arrêt du Tribunal fédéral 6B_417/2019 du 13 septembre 2019 consid. 2.4.). La première doléance (selon dossier) de l'un des sous-traitants remonte au mois de mai 2021. À cette époque, la recourante avait payé trois tranches d'acomptes à C______ S.A. Si l'on garde à l'esprit que, selon le rapport d'audit qu'elle produit, ces tranches n'étaient pas directement proportionnelles à la progression des travaux, pour être fondées sur une structuration qui diffère du CFC, et que le sous-traitant considéré réclamait à la date susmentionnée un acompte de CHF 230'000.- à l'entreprise générale, celle-ci paraît, ainsi, avoir eu à sa disposition des fonds fournis par la recourante – c'est-à-dire le financement destiné au chantier – pour un montant supérieur à celui qui lui était réclamé par ledit sous-traitant, même sous imputation des paiements déjà reçus par celui-ci. C'est si vrai qu'à la date de la facture du sous-traitant, le 10 août 2021, la recourante, ayant payé un acompte supplémentaire dans l'intervalle, semble même avoir versé à C______ S.A. la quasi-totalité du montant des travaux adjugés à ce sous-traitant. Il n'apparaît pas que d'autres travaux étaient simultanément en cours. Ainsi, l'avenant, postérieur d'un mois à la facture précitée, consacre une disposition spécifique aux CHF 230'000.- susmentionnés, mais se contente de réserver toute éventuelle demande d'autres sous-traitants. Sous l'angle du soupçon suffisant d'abus de confiance, le cas échéant répétés, il est sans pertinence que la recourante eût honoré chacune des échéances dont elle-même était débitrice. Le contrat passé avec C______ S.A. ne paraît pas stipuler que la recourante dût préalablement avoir connaissance des factures mêmes des sous-traitants; cette condition sera introduite ultérieurement par l'avenant, et la recourante affirme qu'elle est restée lettre morte.</w:t>
      </w:r>
    </w:p>
    <w:p>
      <w:r>
        <w:rPr>
          <w:b/>
        </w:rPr>
        <w:t>E. 6.6</w:t>
      </w:r>
    </w:p>
    <w:p>
      <w:r>
        <w:t>On ne saurait cependant retenir que C______ S.A. a astucieusement trompé la recourante sur sa volonté d'exécuter ses obligations contractuelles. Preuve en soit que le chantier convenu a commencé et que C______ S.A. a substitué une autre entreprise au sous-traitant répudié. On ne voit pas quelle "astuce" révélerait l'arrivée, au conseil d'administration de C______ S.A., du tiers mandataire que celle-ci s'était choisie dans un premier temps : sur le plan externe, le rapport de représentation de l'entreprise générale ne s'est pas modifié au détriment de la recourante, et il ne la "confortait" donc dans aucune erreur; il n'était pas davantage destiné à susciter abusivement le paiement d'acomptes, qui restaient dus car contractuellement fixés.![endif]&gt;![if&gt; Il en va de même du changement de raison sociale en D______ S.A., qui ne libérait pas pour autant celle-ci de ses obligations antérieures, ou du rééchelonnement des acomptes, rééchelonnement qui est issu d'une suggestion émise dans l'audit même demandé par la recourante. Aucun de ces faits n'a déterminé cette dernière à des actes préjudiciables à ses intérêts pécuniaires. Enfin, on ne voit pas au nom de quoi C______ S.A. eût dû spontanément la renseigner sur sa situation financière.</w:t>
      </w:r>
    </w:p>
    <w:p>
      <w:r>
        <w:rPr>
          <w:b/>
        </w:rPr>
        <w:t>E. 7</w:t>
      </w:r>
    </w:p>
    <w:p>
      <w:r>
        <w:t>En résumé, sans vérification des mouvements sur le compte approvisionné par la recourante et, surtout, sur le compte " miroir " de l'entreprise générale, il n'est pas possible, en l'état, de résumer le litige à une pure inexécution contractuelle, qui relèverait comme telle exclusivement du droit civil. Cette constatation scelle le sort du recours.![endif]&gt;![if&gt;</w:t>
      </w:r>
    </w:p>
    <w:p>
      <w:r>
        <w:rPr>
          <w:b/>
        </w:rPr>
        <w:t>E. 8</w:t>
      </w:r>
    </w:p>
    <w:p>
      <w:r>
        <w:t>La décision attaquée sera annulée, et la cause renvoyée au Ministère public pour qu'il procède conformément à l'art. 300 CPP, dans le sens des considérants.![endif]&gt;![if&gt;</w:t>
      </w:r>
    </w:p>
    <w:p>
      <w:r>
        <w:rPr>
          <w:b/>
        </w:rPr>
        <w:t>E. 9</w:t>
      </w:r>
    </w:p>
    <w:p>
      <w:r>
        <w:t>La recourante, qui a gain de cause, n'assumera pas de frais.![endif]&gt;![if&gt;</w:t>
      </w:r>
    </w:p>
    <w:p>
      <w:r>
        <w:rPr>
          <w:b/>
        </w:rPr>
        <w:t>E. 10</w:t>
      </w:r>
    </w:p>
    <w:p>
      <w:r>
        <w:t>Elle a conclu à une indemnité de dépens, qu'elle a chiffrée à CHF 4'308.- TTC, représentant six heures de rédaction et deux heures de confection du chargé de pièces. Dans la mesure où plainte et acte de recours se confondent largement, celui-ci reprenant celle-là, tout comme les chargés produits à l'appui de chacune de ces écritures, les durées revendiquées sont excessives. Ramenée équitablement à quatre heures d'activité, l'indemnité sera calculée au tarif demandé, soit CHF 400.-/h.![endif]&gt;![if&gt;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