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P/10723/2020 vom 28. September 2020</w:t>
      </w:r>
    </w:p>
    <w:p>
      <w:r>
        <w:t>GE Cour de justice, 2020-09-28, FR</w:t>
      </w:r>
    </w:p>
    <w:p>
      <w:r>
        <w:rPr>
          <w:b/>
        </w:rPr>
        <w:t xml:space="preserve">Quelle: </w:t>
      </w:r>
      <w:r>
        <w:t>https://mcp.opencaselaw.ch/entscheid/ge_gerichte_P_10723_2020</w:t>
      </w:r>
    </w:p>
    <w:p>
      <w:r>
        <w:t>FR: GE_GERICHTE P/10723/2020 du 28 septembre 2020</w:t>
      </w:r>
    </w:p>
    <w:p>
      <w:r>
        <w:t>IT: GE_GERICHTE P/10723/2020 del 28 settembre 2020</w:t>
      </w:r>
    </w:p>
    <w:p>
      <w:pPr>
        <w:pStyle w:val="Heading2"/>
      </w:pPr>
      <w:r>
        <w:t>Regeste</w:t>
      </w:r>
    </w:p>
    <w:p>
      <w:r>
        <w:t>DÉTENTION PROVISOIRE;SOUPÇON;RISQUE DE FUITE;RISQUE DE COLLUSION | CPP.221; LStup.19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une non-aggravation des charges par suite du rapport de police du 4 septembre 2020.</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Il résulte des principes jurisprudentiels sus-rappelés que, contrairement à l'avis du recourant, les charges ne doivent pas obligatoirement s'aggraver à mesure que l'instruction avance, mais les soupçons ayant fondé le placement en détention provisoire ne doivent pas se réduire au point d'apparaître insuffisants à justifier le maintien en prison. En l'occurrence, il résulte de l'analyse du téléphone portable du recourant que celui-ci a, le 17 juin 2020, recherché où se situait le restaurant I______ , alors qu'il avait déclaré ne pas avoir su ce que C______ avait été faire en France, avoir refusé de l'y amener car il ne pouvait pas quitter la Suisse et s'être borné à lui rendre un service en allant le chercher à la frontière, ce qui ne correspond ni aux messages qu'il a envoyés au précité le matin du 17 juin 2020 - qui confirment que les deux hommes avaient rendez-vous -, ni aux observations des inspecteurs de police - qui l'ont vu véhiculer C______ jusqu'à la frontière, où ce dernier est ensuite monté à bord du véhicule de D______. Les derniers éléments recueillis confortent donc, à ce stade, le soupçon que A______, qui est bien plus lié à C______ que ce qu'il a jusqu'ici admis - à teneur des propres déclarations du précité -, a fonctionné, le 17 juin 2020, en qualité de guetteur (à la frontière) et de chauffeur lors de l'importation des 4 kilogrammes de cocaïne. Les autres éléments résultant des analyses de la téléphonie mobile - le fait qu'il appelait le précité " oncle " et continuait à utiliser le compte O______ de son précédent raccordement après avoir installé une nouvelle carte SIM dans son téléphone - ne réduisent en tout cas pas ces soupçons. Partant, c'est à bon droit que le TMC a retenu que les derniers éléments de l'instruction n'avaient pas amoindri les charges depuis sa dernière ordonnance.</w:t>
      </w:r>
    </w:p>
    <w:p>
      <w:r>
        <w:rPr>
          <w:b/>
        </w:rPr>
        <w:t>E. 3</w:t>
      </w:r>
    </w:p>
    <w:p>
      <w:r>
        <w:t>Le recourant nie tout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w:t>
      </w:r>
    </w:p>
    <w:p>
      <w:r>
        <w:rPr>
          <w:b/>
        </w:rPr>
        <w:t>E. 3.2</w:t>
      </w:r>
    </w:p>
    <w:p>
      <w:r>
        <w:t>En l'espèce, les charges ne s'étant pas amoindries, le risque que le recourant soit tenté de quitter la Suisse pour échapper à la procédure pénale subsiste. Il est d'autant plus important que le prévenu est impliqué dans un trafic portant sur plus de 4 kilogrammes bruts de cocaïne et que son ancrage en Suisse est ténu. Le recourant ne réside en effet dans ce pays que depuis février 2019 et, sous réserve d'une attestation de l'OCPM - qui ne figure pas ou pas encore au dossier - l'autorisant à y rester, il ne bénéficie d'aucun permis de séjour. Au surplus, il travaille depuis janvier 2020 seulement, à temps partiel, pour une entreprise de déménagement. L'aîné de ses trois enfants est âgé de 7 ans, sa femme ne travaille pas et ses parents vivent au Kosovo, où il est lui-même propriétaire d'une maison. On ne voit dès lors pas ce qui le retiendrait de quitter la Suisse pour se soustraire à la poursuite pénale, voire à une peine de prison non négligeable s'il devait être reconnu coupable des faits qui lui sont reprochés. C'est donc à bon droit que le TMC a retenu l'existence d'un risque de fuite.</w:t>
      </w:r>
    </w:p>
    <w:p>
      <w:r>
        <w:rPr>
          <w:b/>
        </w:rPr>
        <w:t>E. 4</w:t>
      </w:r>
    </w:p>
    <w:p>
      <w:r>
        <w:t>Le recourant conteste également un risque de collusion.</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4.2</w:t>
      </w:r>
    </w:p>
    <w:p>
      <w:r>
        <w:t>En l'espèce, le risque de collusion ne s'est pas amoindri, tant s'en faut, à l'égard des autres personnes impliquées dans le trafic de stupéfiants auquel le recourant est soupçonné d'avoir participé, en particulier les individus avec lesquels C______ et D______ ont eu contact au restaurant I______ , ainsi que le dénommé " L______ ", que le premier désigne comme le commanditaire de la cocaïne saisie.</w:t>
      </w:r>
    </w:p>
    <w:p>
      <w:r>
        <w:rPr>
          <w:b/>
        </w:rPr>
        <w:t>E. 5</w:t>
      </w:r>
    </w:p>
    <w:p>
      <w:r>
        <w:t>Au vu des deux risques retenus, point n'est besoin d'examiner si s'y ajoute aussi le risque de réitération retenu par le TMC.</w:t>
      </w:r>
    </w:p>
    <w:p>
      <w:r>
        <w:rPr>
          <w:b/>
        </w:rPr>
        <w:t>E. 6</w:t>
      </w:r>
    </w:p>
    <w:p>
      <w:r>
        <w:t>2. En l'espèce, le risque de fuite est d'une importance telle que la saisie des documents d'identité, l'interdiction de quitter la Suisse, l'assignation à résidence, le port d'un bracelet électronique et l'obligation de s'annoncer à un poste de police, même ordonnés conjointement, ne seraient pas suffisants à empêcher le recourant - le cas échéant avec sa femme et ses enfants - de retourner au Kosovo, par voie de terre. Ces mesures ne permettraient que de constater, après coup, leur départ. La caution de CHF 3'000.- proposée paraît bien insuffisante à retenir la fuite du recourant, au regard des sommes en jeu dans le trafic de cocaïne dont il est soupçonné. L'interdiction de contact est dérisoire et inapte à empêcher le recourant de parler, directement ou par le biais d'intermédiaires, avec les autres participants audit trafic, dont l'intérêt à être informés de l'avancement de l'instruction est élevé. Il s'ensuit que la détention paraît, en l'état, seule à même de pallier les risques retenus.</w:t>
      </w:r>
    </w:p>
    <w:p>
      <w:r>
        <w:rPr>
          <w:b/>
        </w:rPr>
        <w:t>E. 6.1</w:t>
      </w:r>
    </w:p>
    <w:p>
      <w:r>
        <w:t>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w:t>
      </w:r>
    </w:p>
    <w:p>
      <w:r>
        <w:rPr>
          <w:b/>
        </w:rPr>
        <w:t>E. 7</w:t>
      </w:r>
    </w:p>
    <w:p>
      <w:r>
        <w:t>La détention provisoire, ordonnée en l'état pour une durée de six mois en totalité respecte le principe de la proportionnalité au vu de la peine concrètement encourue si le recourant devait être reconnu coupable des faits dont il est prévenu.</w:t>
      </w:r>
    </w:p>
    <w:p>
      <w:r>
        <w:rPr>
          <w:b/>
        </w:rPr>
        <w:t>E. 8</w:t>
      </w:r>
    </w:p>
    <w:p>
      <w:r>
        <w:t>Le recours s'avère ainsi infondé et doit être rejeté.</w:t>
      </w:r>
    </w:p>
    <w:p>
      <w:r>
        <w:rPr>
          <w:b/>
        </w:rPr>
        <w:t>E. 9</w:t>
      </w:r>
    </w:p>
    <w:p>
      <w:r>
        <w:t>Le recourant, qui succombe, supportera les frais envers l'État, qui seront fixés à CHF 900.-, y compris un émolument de décision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