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P/1065/2023 vom 28. Januar 2025</w:t>
      </w:r>
    </w:p>
    <w:p>
      <w:r>
        <w:t>GE Cour de justice, 2025-01-28, FR</w:t>
      </w:r>
    </w:p>
    <w:p>
      <w:r>
        <w:rPr>
          <w:b/>
        </w:rPr>
        <w:t xml:space="preserve">Quelle: </w:t>
      </w:r>
      <w:r>
        <w:t>https://mcp.opencaselaw.ch/entscheid/ge_gerichte_P_1065_2023</w:t>
      </w:r>
    </w:p>
    <w:p>
      <w:r>
        <w:t>FR: GE_GERICHTE P/1065/2023 du 28 janvier 2025</w:t>
      </w:r>
    </w:p>
    <w:p>
      <w:r>
        <w:t>IT: GE_GERICHTE P/1065/2023 del 28 gennaio 2025</w:t>
      </w:r>
    </w:p>
    <w:p>
      <w:pPr>
        <w:pStyle w:val="Heading2"/>
      </w:pPr>
      <w:r>
        <w:t>Regeste</w:t>
      </w:r>
    </w:p>
    <w:p>
      <w:r>
        <w:t>CP.111; CP.123; LStup.19a</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 présomption d'innocence, garantie par les art. 10 CPP, 32 al. 1 de la Constitution fédérale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2.1.2. L'art. 111 CP réprime le comportement de quiconque tue intentionnellement une personne, tandis que l’art. 122 CP sanctionne quiconque, intentionnellement, blesse une personne de façon à mettre sa vie en danger, mutile le corps d’une personne, un de ses membres ou un de ses organes importants, cause à une personne une incapacité de travail, une infirmité ou une maladie mentale permanentes, ou défigure une personne d’une façon grave et permanente ou lui fait subir toute autre atteinte grave à l’intégrité corporelle ou à la santé physique ou mentale. L’art. 123 CP s’applique pour sa part aux autres atteintes à l’intégrité corporelle ou à la santé. 2.1.3. Il y a tentative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assenés (arrêt du Tribunal fédéral 6B_829/2010 du 28 février 2011 consid. 3.2). La nature de la lésion subie par la victime et sa qualification d'un point de vue objectif est sans pertinence pour juger si l'auteur s'est rendu coupable de tentative de meurtre (ATF 137 IV 113 consid. 1.4.2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On peut retenir l'intention homicide lors d'un unique coup de couteau sur le haut du corps de la victime (arrêts du Tribunal fédéral 6B_135/2020 du 16 juin 2020 consid. 4.2 ;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(cf. arrêts du Tribunal fédéral 6B_900/2022 du 22 mai 2023, consid. 2.4 non publié aux ATF 149 IV 266 ; 6B_798/2020 du 16 septembre 2020 consid. 3 ; 6B_230/2012 du 18 septembre 2012 consid. 2.3). 2.2.1. S'agissant du déroulement des faits, il est établi que le 15 janvier 2023, aux alentours de 02h50, une altercation, d'abord verbale, puis physique, a éclaté entre les parties pour un motif futile qui demeure inconnu (refus de donner à l'appelant une cigarette selon l'intimé, regard méchant de l'intimé pour l'appelant). Les deux protagonistes en sont venus aux mains, l'intimé assenant à tout le moins un coup de poing au visage de l'appelant après que celui-ci l'avait poussé, puis avait tenté de le frapper, coup à l'origine de la lésion qu'il a subie et de sa chute. Contrairement à ce que soutient l'appelant, il s'agit là du seul acte de violence de l'intimé à son égard. En effet, aucun des témoins présents durant cette phase de la dispute (J______ et K______) n'a vu l'intimé frapper l'appelant à trois reprises tandis qu'il tentait de se relever, pas plus qu'ils n'ont constaté que celui-ci avait perdu connaissance. J______ a, pour sa part, indiqué que c'était après s'être relevé que l'appelant avait proféré les premières menaces de mort à l'encontre de l'intimé, avant de le poursuivre avec un objet brillant dans la main, tandis que ce dernier - sans doute déjà blessé au flanc droit comme il l'allègue au vu de son état d’essoufflement - tentait de prendre la fuite. K______ a quant à lui rapporté avoir vu l'appelant jeter un verre en direction de l'intimé, qui était parvenu à l'éviter - ce qui correspond vraisemblablement au bruit de bris de verre entendu par les témoins N______ et P______ - puis continuer de s'en prendre à l'intimé. Par la suite, l'appelant, manifestement toujours muni du couteau, a continué de se montrer agressif physiquement à l'égard de l'appelant et de tenter de le frapper, y compris une fois ce dernier à terre, en faisant des mouvements de la main droite de haut en bas tout en étant retenu par la veste par J______, selon ce qui ressort des images de vidéosurveillance, le précité précisant que, ce faisant, l'appelant continuait de proférer des menaces de mort à l'endroit de l'intimé ( "je vais te tuer" ), tandis que le témoin N______ a déduit de la gestuelle de l'appelant et de la direction des coups (ventre et torse) qu'il était muni d'une lame. Ce n'est que grâce aux interventions répétées de J______, qui est finalement parvenu à plaquer l'appelant contre un mur et, ainsi, à permettre à l'intimé de s'éloigner, que l'altercation a pris fin. L'appelant a ensuite quitté les lieux, puis a tenté de se cacher à la vue des policiers intervenus pour l'interpeller, et de justifier sa présence sur les lieux de son interpellation par le fait qu’il attendait un ami. 2.2.2. Du point de vue juridique, il est établi que la lésion subie par l'intimé, sous forme d'une plaie à berges nettes en forme de "V" d'une profondeur minimale de 3.9 centimètres au niveau du flanc droit, est constitutive d'une lésion corporelle simple, la vie de l'intéressé n'ayant jamais été mise en danger. 2.2.3. Sous l'angle de l'élément constitutif subjectif, divers éléments démontrent que l'appelant n'a pas simplement eu l'intention d'en découdre avec l'intimé, comme il l’allègue, mais qu'il a été mû par une intention homicide, a minima sous la forme du dol éventuel. Il en va ainsi tout d'abord de la zone dans laquelle le coup de couteau a été porté, soit au niveau du flanc droit, dans une région proche du foie, organe du corps humain situé à proximité du poumon droit, recevant du sang de deux vaisseaux majeurs (veine porte et artère hépatique) qui auraient pu être atteints, d’autant plus au vu de la profondeur de la plaie, évaluée entre 3.9 et 6 centimètres, étant rappelé que la longueur de la lame du couteau dont était muni l’appelant était de 6.1 centimètres, de sorte qu’il a potentiellement enfoncé le couteau jusqu’à sa garde ou presque, ce qui renforce sa volonté homicide, l’issue fatale étant d’autant plus envisageable vu la dynamique de la scène, et l’état d’alcoolisation de l’appelant, tout comme celui de l’intimé. Il en va ainsi ensuite des menaces de mort que l'appelant a proférées à réitérées reprises à l'endroit de l'intimé, dès la première phase de l'altercation, sitôt après avoir essuyé un coup de poing au visage en riposte à sa propre attaque, séquence durant laquelle il a d’abord tenté d'atteindre l'intimé au moyen d'un pichet en verre, avant de le poursuivre et de lui assener un coup de couteau. L’appelant a réitéré ses menaces de mort durant la seconde phase des événements, au cours de laquelle il a, joignant le geste à la parole, de sorte qu’il ne s’est pas agi, dans ce cas, de propos «en l’air » , tenté à plusieurs reprises, toujours muni de son couteau, de frapper à nouveau la victime, y compris une fois cette dernière au sol, au niveau du haut du corps. L'appelant a en outre fait preuve d'acharnement à l'égard de l'intimé. Après être parvenu à le blesser par un premier coup de couteau, il l’a poursuivi, couteau à la main, alors que ce dernier essayait de fuir, de se mettre à l’abri, de même qu'un terme à l’agression. Puis, il a tenté de lui assener d'autres coups au moyen de cette arme, essentiellement dans la région du torse, comme déjà indiqué, vu les gestes effectués, alors même que J______ essayait de l’en empêcher, ce qui ressort des images de vidéosurveillance, et des constats des témoins N______, lequel a déduit de la gestuelle de l'appelant ainsi que des zones visées qu'il était muni d'un couteau, et J______, qui a craint que l'appelant achève l'intimé, d'où ses interventions répétées pour l'en éloigner. Après les faits, l’appelant a quitté les lieux sans se soucier de l’état de la victime, preuve de ce que son sort lui importait peu. Il s’est par ailleurs caché à la vue des policiers et les explications qu’il leur a fournies, prétendant attendre la venue d’un ami, dénote qu’il n’était nullement dans un état totalement altéré par la consommation de toxiques, contrairement à ce qu’il allègue, mais qu’il était conscient de l'illicéité de son comportement et des conséquences susceptibles d'en découler. Enfin, de son propre aveu, il avait conscience qu'un coup de couteau porté au niveau du tronc du corps était de nature à occasionner une blessure potentiellement léthale. Tous ces éléments conduisent à retenir que l’appelant, par son comportement, a à tout le moins envisagé de porter atteinte à la vie de l’intimé, ce qu’il a accepté, sans y parvenir, de sorte qu’il doit être reconnu coupable de tentative d’homicide, à tout le moins par dol éventuel. Il s’ensuit que le verdict de culpabilité retenu par les premiers juges doit être confirmé et l’appel rejeté.</w:t>
      </w:r>
    </w:p>
    <w:p>
      <w:r>
        <w:rPr>
          <w:b/>
        </w:rPr>
        <w:t>E. 3</w:t>
      </w:r>
    </w:p>
    <w:p>
      <w:r>
        <w:t>3.1.1. Le meurtre au sens de l'art. 111 CP est passible d'une peine privative de liberté de cinq ans au moins. À teneur de l'art. 22 al. 1 CP, le juge peut atténuer la peine si l'exécution de l'infraction n'est pas poursuivie jusqu'à son terme ou que le résultat nécessaire à la consommation de l'infraction ne se produit pas ou ne pouvait pas se produire. La mesure de cette atténuation dépend notamment de la proximité du résultat ainsi que des conséquences effectives des actes commis (ATF 127 IV 101 consid. 2b ; 121 IV 49 consid. 1b ; arrêt du Tribunal fédéral 6B_240/2022 du 16 mars 2023 consid. 2.5.3). Les lésions corporelles simples sont passibles d'une peine privative de liberté de trois ans au plus ou d'une peine pécuniaire, tandis que l'infraction à l'art. 19a ch. 1 de la Loi fédérale sur les stupéfiants (LStup) l'est d'une amende.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3.2.1. La faute de l'appelant est lourde. Il n'a pas hésité à tenter d'ôter à la vie de l'intimé pour un motif qui demeure peu claire, mais est en tout hypothèse futile, eu égard aux explications fournies par les parties (refus de fournir une cigarette ou regard méchant). Alors même qu'il était parvenu à le blesser par un premier coup de couteau, l'appelant a poursuivi l'intimé tandis que celui-ci prenait la fuite, et ne constituait ainsi plus une menace pour lui, selon sa version des faits, ce qui dénote l'intensité de sa volonté criminelle. Seules les interventions répétées du témoin J______ ont mis fin à ses agissements et sans doute permis d'éviter une issue fatale. L'appelant s'en est par ailleurs pris deux fois à l'intégrité corporelle de son épouse de l'époque, mère de son enfant, à une reprise en présence de celui-ci, et à une autre en se munissant d'un bâton. Dans ces cas également, il a agi pour des motifs futiles, en réaction au fait qu'elle s'était énervée qu'il ne l'aide pas dans les tâches ménagères, soit encore ne supportant pas qu'elle projette des gouttelettes d'eau dans sa direction en sortant de la douche pour le taquiner. Le prévenu a enfin détenu des stupéfiants destinés à sa consommation personnelle. Il y a concours d'infractions, ce qui justifie une augmentation de la peine dans une juste proportion, de même que cumul d'infractions punissables de peines de genre différent. Le prévenu a agi pour des mobiles égoïstes, laissant libre cours à son impulsivité et à une colère mal maitrisée, ainsi que par convenance personnelle en ce qui concerne la détention de stupéfiants, au mépris des règles et interdits en vigueur. Sa situation personnelle n'explique ni ses agissements ni ne les justifie. Au moment des actes de violence commis sur son épouse, il disposait d'une situation familiale stable, venait de devenir père, et était autorisé à séjourner et travailler en Suisse. Lors des faits de janvier 2023, il était certes dans une situation personnelle plus précaire, ayant perdu son autorisation de séjour suite à son divorce et étant privé de contact avec son fils en raison du conflit l'opposant à son ex-femme. Cela étant, il disposait d'un hébergement au sein du foyer U______ et subvenait en partie à ses besoins par des expédients. Il avait ainsi toute latitude d’agir autrement. La collaboration de l'appelant a très longtemps été extrêmement mauvaise. En effet, au-delà de la détention de produits stupéfiants, qu'il pouvait difficilement contester, il a nié jusque dans sa déclaration d'appel avoir usé de violence à l'égard de son ex-femme, avant de retirer son appel aux débats de seconde instance sur les aspects du jugement de première instance concernant ce volet. Pour ce qui est de la tentative de meurtre, ce n'est qu'à la réception du rapport attestant de la présence de l'ADN de l'intimé sur une trace de sang prélevée sur la lame du couteau dont il était porteur, qu'il a reconnu être l'auteur de la lésion infligée au plaignant. Malgré cela, il a prétendu avoir été agressé à de multiples reprises par l'appelant et ne pas se souvenir l'avoir pourchassé, au motif de problèmes mnésiques accentués par la prise de toxiques, alors même que son attitude à l'arrivée de la police, consistant à se cacher, de même que les explications qu'il a fournies pour justifier sa présence sur les lieux de son interpellation (attente d'un ami), démontrent qu'il était parfaitement conscient d'avoir agi illicitement, sans compter qu'il a été jugé capable de discernement par les médecins-légistes l'ayant examiné à 06h25 soit moins de quatre heures après les événements. L'appelant n'a manifestement pas pris conscience de la gravité de son comportement à l'endroit de l'intimé, malgré les excuses qu'il a présentées à réitérées reprises. Il a persisté à se poser en victime, alléguant avoir été agressé à plusieurs reprises par l'intimé lequel s'est contenté, selon ce qui ressort du dossier, de se défendre après avoir été attaqué, en frappant à une seule reprise l'appelant au visage avant de prendre la fuite pour mettre un terme à l’altercation. Il a en outre tenté de justifier ses agissements par sa consommation de toxiques qui, si elle a pu certes avoir un effet désinhibiteur, n'a pas altéré ses capacités cognitives et volitives, pour les motifs déjà exposés ci-dessus. En revanche, le retrait de son appel pour les actes de violence commis au détriment de son ex-épouse, tout comme l'admission des conclusions civiles allouées à celles-ci et les excuses qu'il lui a adressées, constituent des éléments positifs plaidant en faveur d'une prise de conscience de l'appelant de l'inadéquation de son comportement à l'égard de cette plaignante durant leur vie commune. Le prévenu a plusieurs antécédents judiciaires, spécifiques uniquement s'agissant de la contravention à la LStup. Les peines qui lui ont été infligées, dont les sursis ont tous été révoqués, ne l'ont pas dissuadé de récidiver. Il sera tenu compte du fait que l'infraction la plus grave en est restée au stade de la tentative, étant rappelé que l’intimé n’a en définitive subi qu’une lésion corporelle simple résultant du coup de couteau. Il sera toutefois rappelé que ce n'est que grâce aux interventions répétées de J______ que l'appelant a finalement mis un terme à ses agissements. 3.2.2. L'infraction objectivement la plus grave est la tentative de meurtre, qu'il se justifie de sanctionner d'une peine privative de liberté de quatre ans et demi. Cette peine sera augmentée de trois mois pour chacune des deux lésions corporelles infligées à son ex-épouse, soit de six mois au total (peine hypothétique de six mois pour chaque occurrence). Ainsi, la peine privative de liberté de cinq ans fixée par les premiers juges consacre une application correcte des principes de l'art. 47 CP et sera partant confirmée. Il en ira de même de l'amende de CHF 100.- sanctionnant la contravention à la LStup. 3.2.3. Vu la quotité de la peine prononcée, l’appelant ne saurait prétendre au bénéfice du sursis, total ou partiel. 3.2.4. L'appel sera ainsi rejeté et le jugement de première instance intégralement confirmé sur ces points.</w:t>
      </w:r>
    </w:p>
    <w:p>
      <w:r>
        <w:rPr>
          <w:b/>
        </w:rPr>
        <w:t>E. 4</w:t>
      </w:r>
    </w:p>
    <w:p>
      <w:r>
        <w:t>4.1.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meurtre (let. a).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4.2</w:t>
      </w:r>
    </w:p>
    <w:p>
      <w:r>
        <w:t>Malgré la formulation potestative de la norme, le juge de l'expulsion est tenu d'examiner lui-même, au stade du prononcé de l'expulsion déjà, si les conditions de l'art. 66a al. 2 CP sont réalisées et de renoncer à ordonner l'expulsion dans cette hypothèse. Il ne peut renvoyer à l'autorité d'exécution l'examen de toutes les circonstances qui s'opposent à cette mesure (ATF 147 IV 453 consid. 1.4.5 ; 145 IV 455 consid. 9.4 ; 144 IV 332 consid. 3.3 ; arrêts du Tribunal fédéral 6B_747/2019 du 24 juin 2020 consid. 2.1.2 ; 6B_1024/2019 du 29 janvier 2020 consid. 1.3.5). 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Un séjour légal de dix années suppose en principe une bonne intégration de l'étranger (ATF 144 I 266 consid. 3.9 ; arrêt du Tribunal fédéral 6B_1431/2019 du 12 février 2020 consid. 1.3.1).</w:t>
      </w:r>
    </w:p>
    <w:p>
      <w:r>
        <w:rPr>
          <w:b/>
        </w:rPr>
        <w:t>E. 4.3</w:t>
      </w:r>
    </w:p>
    <w:p>
      <w:r>
        <w:t>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 Il n'y a pas d'atteinte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140 I 145 consid. 3.1 ; arrêts du Tribunal fédéral 6B_396/2022 consid. 6.5 ; 6B_257/2022 consid. 3.3 ; 6B_38/2021 du 14 février 2022 consid. 5.1.2). En l'absence de ménage commun avec son enfant et de relations personnelles entretenues de manière régulière, la seule présence en Suisse de l'enfant du condamné ne fait pas obstacle à l'expulsion (arrêts du Tribunal fédéral 6B_435/2023 du 21 juin 2023 consid. 5.2 ; 6B_822/2021 du 4 juillet 2022 consid. 2.1.1).</w:t>
      </w:r>
    </w:p>
    <w:p>
      <w:r>
        <w:rPr>
          <w:b/>
        </w:rPr>
        <w:t>E. 4.4</w:t>
      </w:r>
    </w:p>
    <w:p>
      <w:r>
        <w:t>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Cette disposition n'exige pas une condamnation à une peine privative de liberté d'au moins un an, pas plus que la disposition n'exige une condamnation pour une infraction passible d'une peine privative de liberté minimale d'un an. À cet égard, il suffit que l'infraction correspondante prévoie une peine privative de liberté "plafond" d'un an ou plus. Toutefois, à titre d'exigence cumulative, il faut toujours examiner si la personne concernée représente une menace pour la sécurité publique ou l'ordre public (art. 24, par. 2, Règlement-SIS-II).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(ATF 147 IV 340 consid. 4.4-4.8).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(ATF 147 IV 340 consid. 4.8). L’octroi d'une autorisation de séjour dans un État membre de l’espace SCHENGEN est possible pour une personne faisant l'objet d'une inscription SIS ; si l'autorisation est délivrée, l'inscription de l'expulsion au SIS doit par conséquent être radiée, ce qui peut cas échéant intervenir après le jugement ordonnant ladite inscription. Le fait qu’une personne est au bénéfice d'une telle autorisation ne fait d’ailleurs pas obstacle à l'inscription, laquelle doit alors susciter une consultation entre l'État qui a délivré l'autorisation et celui qui inscrit l'expulsion. Si l'État qui a octroyé l'autorisation de séjour la maintient, l'inscription doit aussi être radiée (arrêt du Tribunal fédéral 6B_834/2021 du 5 mai 2022). 4.5.1. L’appelant ne bénéficie actuellement d’aucun titre de séjour en Suisse, pays dans lequel il a vécu depuis 2016, soit à l’âge adulte. Il n'a jamais réellement travaillé sur le territoire helvétique, vivant soit de l'aide sociale, soit encore, une fois privé de celle-ci, d’expédients. Il n’a plus de contact avec son fils, avec lequel il n’a que brièvement formé une communauté de vie (juillet 2019 à juillet 2021), et ne contribue pas à son entretien. Il ne lui apporte ainsi ni soutien moral ni soutien financier et n'allègue pas avoir économisé sur le pécule gagné en prison dans ce sens. A cet égard, le suivi du programme "parents et en prison" , tout comme les contacts qu'il allègue avoir pris avec le SPMi et la fondation S______ en vue de la reprise des relations personnelles avec son fils, sont insuffisantes pour lui permettre de se prévaloir de la garantie consacrée à l'art. 8 par. 1 CEDH (et à l'art. 13 Cst.). Le renvoi de l'appelant dans son pays d'origine ne le placerait pas dans une situation personnelle grave. C'est en effet à l'âge adulte qu'il a quitté le Maroc, où vivent encore tous les membres de la famille, à l'exception de l'un de ses frères, avec lesquels il entretient très peu de contacts depuis son incarcération. Avant son départ, il était parfaitement intégré dans son pays d'origine, dans lequel il avait eu l'occasion de travailler dans plusieurs domaines, seuls emplois stables qu'il a occupés. Au bénéfice d'un diplôme de cuisinier, de même que fort de ses expériences d'instructeur de plongée et de coach sportif, il lui sera possible de retrouver relativement aisément un emploi, tout en étant hébergé et soutenu par sa famille. 4.5.2. En tout état de cause, même s’il fallait retenir que la première condition de l’art. 66a al. 2 CP était réalisée, l’intérêt public à l’expulsion devrait prévaloir sur les intérêts privés de l’appelant, dès lors qu'il a non seulement commis une tentative de meurtre, s’en prenant au bien juridique le plus précieux, mais également des lésions corporelles simples sur son ex-épouse durant la vie commune. La peine privative de liberté de cinq ans dépasse largement une année, ce qui aurait, cas échéant, conduit à la révocation de son autorisation de séjour sur la base de l'art. 62 al. 1 let. b LEI, si elle avait encore été valable (cf. ATF 139 I 145 consid. 2.1, selon lequel constitue une " peine privative de liberté de longue durée " au sens de l'art. 62 al. 1 let. b LEtr [depuis le 1er janvier 2019 : LEI] toute peine dépassant un an d'emprisonnement). Sa dangerosité est manifeste. L’appelant est mal intégré en Suisse, puisqu’il n’a bénéficié que pendant quelques années d’une autorisation de séjour, dont le renouvellement a été refusé, de sorte qu'il fait l'objet d'une décision de renvoi entrée en force. Il ne dispose pas de son propre logement, étant hébergé dans un foyer. Quant à son cercle social, il se résume à son frère, faute d'entretenir des contacts avec son ex-épouse et leur enfant. Leur lien semble toutefois passablement distant, dès lors que R______ n'a jamais rendu visite à son frère en prison et ne lui a parlé au téléphone qu'à une seule reprise, à tout le moins entre la date de son incarcération et les débats de première instance. L'appelant ne fait état d’aucune activité associative ou bénévole actuelle, alors même qu'il allègue avoir travaillé bénévolement pendant six mois par le passé. Son intérêt privé à pouvoir demeurer en Suisse – où il ne bénéficie d’aucun droit de séjour – est ainsi restreint, et a déjà été examiné dans le cadre de la décision de renvoi entrée en force prononcée à son encontre. 4.5.3. Il s'ensuit que les conditions d’admission de la clause de rigueur ne sont pas réalisées, de sorte que c’est à juste titre que les premiers juges ont prononcé son expulsion du territoire suisse, la durée de sept ans étant proportionnée en regard de la gravité des faits dont il s’est rendu coupable. Le jugement du TCO sera confirmé et l’appel rejeté sur ce point. 4.5.4. Il en ira de même de l’inscription de l’expulsion au système d’information Schengen, non contestée au-delà du prononcé de l’expulsion, au vu de la gravité des faits pour lesquels l'appelant est condamné, portant atteinte aux biens juridiques les plus importants (vie et intégrité corporelle), ainsi que de la peine dont il était passible, et celle concrètement prononcée. Cette mesure sera partant confirmée.</w:t>
      </w:r>
    </w:p>
    <w:p>
      <w:r>
        <w:rPr>
          <w:b/>
        </w:rPr>
        <w:t>E. 5</w:t>
      </w:r>
    </w:p>
    <w:p>
      <w:r>
        <w:t>5.1.1. En qualité de partie plaignante, le lésé peut faire valoir des conclusions civiles déduites de l'infraction par adhésion à la procédure pénale (art. 122 al. 1 CPP), en particulier en réparation de son tort moral (art. 47 du code des obligations [CO]) ou en réparation de son dommage matériel (art. 41 CO). 5.1.2. En cas de verdict de culpabilité, le tribunal statue sur les conclusions civiles présentées (art. 126 al. 1 CPP).</w:t>
      </w:r>
    </w:p>
    <w:p>
      <w:r>
        <w:rPr>
          <w:b/>
        </w:rPr>
        <w:t>E. 5.2</w:t>
      </w:r>
    </w:p>
    <w:p>
      <w:r>
        <w:t>En l'espèce, l'intimé a fait valoir un tort moral. La réparation demandée, dûment motivée, apparaît fondée quant à son montant, étant rappelé que l'intimé, outre sa prise en charge hospitalière, a été en incapacité de travail durant plusieurs jours, que les conséquences, physiques et psychiques, de la tentative de meurtre dont il a été victime l’ont durablement impacté dans sa vie quotidienne, au point de devoir changer d’orientation professionnelle, et perdurent sur le long terme, tel qu’attesté médicalement. Il s’ensuit que l’indemnité pour tort moral de CHF 10'000.-, avec intérêts à 5 % dès le 15 janvier 2023 allouée par les premiers juges est parfaitement justifiée et devra être confirmée. L’appelant sera débouté de ses conclusions en appel sur ce point également.</w:t>
      </w:r>
    </w:p>
    <w:p>
      <w:r>
        <w:rPr>
          <w:b/>
        </w:rPr>
        <w:t>E. 6</w:t>
      </w:r>
    </w:p>
    <w:p>
      <w:r>
        <w:t>L'appelant étant en exécution anticipée de peine, il n'y a pas lieu de prononcer son maintien en détention pour des motifs de sûreté.</w:t>
      </w:r>
    </w:p>
    <w:p>
      <w:r>
        <w:rPr>
          <w:b/>
        </w:rPr>
        <w:t>E. 7</w:t>
      </w:r>
    </w:p>
    <w:p>
      <w:r>
        <w:t>Les confiscations et restitutions prononcées n'ont pas été contestées, elles seront ainsi confirmées.</w:t>
      </w:r>
    </w:p>
    <w:p>
      <w:r>
        <w:rPr>
          <w:b/>
        </w:rPr>
        <w:t>E. 8</w:t>
      </w:r>
    </w:p>
    <w:p>
      <w:r>
        <w:t>L'appelant, qui succombe, sera condamné à supporter les frais de la procédure envers l'État, comprenant un émolument de décision de CHF 3'000.- (art. 428 CPP).</w:t>
      </w:r>
    </w:p>
    <w:p>
      <w:r>
        <w:rPr>
          <w:b/>
        </w:rPr>
        <w:t>E. 9</w:t>
      </w:r>
    </w:p>
    <w:p>
      <w:r>
        <w:t>.4. Considérés globalement, les états de frais produits par M e B______, défenseure d'office de A______, M e D______, conseil juridique gratuit de C______ et M e F______, conseil juridique gratuit de E______ satisfont les exigences légales et jurisprudentielles régissant l'assistance judiciaire gratuite en matière pénale. La rémunération de M e B______ sera partant arrêtée à CHF 3'545.70 correspondant à 13h15 d'activité au tarif horaire de CHF 200.- (CHF 2'650.-) plus la majoration forfaitaire de 20 % (CHF 530.-) et une vacation à CHF 100.-, ainsi que l'équivalent de la TVA au taux de 8.1% en CHF 265.70. Celle de M e D______ sera fixée à CHF 2'620.- correspondant à 11h00 d'activité au tarif horaire de CHF 200.- (CHF 2'200.-), plus la majoration forfaitaire de 10 % (CHF 220.-) et deux vacations à CHF 100.- chacune (CHF 200.-). Celle de M e F______ sera arrêtée à CHF 691.85 correspondant à 2h15 heures d'activité au tarif horaire de CHF 200.- (CHF 450.-) plus la majoration forfaitaire de 20 % (CHF 90.-) et une vacation à CHF 100.-, ainsi que l'équivalent de la TVA au taux de 8.1% en CHF 51.85. * * * * *</w:t>
      </w:r>
    </w:p>
    <w:p>
      <w:r>
        <w:rPr>
          <w:b/>
        </w:rPr>
        <w:t>E. 9.1</w:t>
      </w:r>
    </w:p>
    <w:p>
      <w:r>
        <w:t>Selon l'art. 135 al. 1 CPP, le défenseur d'office ou le conseil juridique gratuit (cf .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