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P/10658/2009 vom 1. November 2018</w:t>
      </w:r>
    </w:p>
    <w:p>
      <w:r>
        <w:t>GE Cour de justice, 2018-11-01, FR</w:t>
      </w:r>
    </w:p>
    <w:p>
      <w:r>
        <w:rPr>
          <w:b/>
        </w:rPr>
        <w:t xml:space="preserve">Quelle: </w:t>
      </w:r>
      <w:r>
        <w:t>https://mcp.opencaselaw.ch/entscheid/ge_gerichte_P_10658_2009</w:t>
      </w:r>
    </w:p>
    <w:p>
      <w:r>
        <w:t>FR: GE_GERICHTE P/10658/2009 du 1 novembre 2018</w:t>
      </w:r>
    </w:p>
    <w:p>
      <w:r>
        <w:t>IT: GE_GERICHTE P/10658/2009 del 1 novembre 2018</w:t>
      </w:r>
    </w:p>
    <w:p>
      <w:pPr>
        <w:pStyle w:val="Heading2"/>
      </w:pPr>
      <w:r>
        <w:t>Regeste</w:t>
      </w:r>
    </w:p>
    <w:p>
      <w:r>
        <w:t>PARTIE CIVILE | CP.138</w:t>
      </w:r>
    </w:p>
    <w:p>
      <w:pPr>
        <w:pStyle w:val="Heading2"/>
      </w:pPr>
      <w:r>
        <w:t>Erwägungen</w:t>
      </w:r>
    </w:p>
    <w:p>
      <w:r>
        <w:rPr>
          <w:b/>
        </w:rPr>
        <w:t>E. 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w:t>
      </w:r>
    </w:p>
    <w:p>
      <w:r>
        <w:t>2.1.1. Selon l'art. 122 al. 1 CPP, en qualité de partie plaignante, le lésé peut faire valoir des conclusions civiles déduites de l'infraction par adhésion à la procédure pénale. Le tribunal statue sur celles-ci, lorsqu'il rend un verdict de culpabilité à l'encontre du prévenu ou lorsqu'il acquitte le prévenu et que l'état de fait est suffisamment établi (art. 126 al. 1 let. a et b CPP). Les prétentions civiles que peut faire valoir la partie plaignante sont exclusivement celles qui sont déduites de l'infraction. Cela signifie qu'elles doivent découler d'une ou de plusieurs infractions qui, dans un premier temps, sont l'objet des investigations menées dans la procédure préliminaire, puis, dans un second temps, figurent dans l'acte d'accusation.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 6B_267/2016 du 15 février 2017 consid. 6.1 et 6B_486/2015 précité consid. 5.1). 2.1.2. Selon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On distingue l'illicéité de résultat ( Erfolgsunsrecht ), qui suppose l'atteinte à un droit absolu du lésé, de l'illicéité du comportement ( Verhaltensunrecht ).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(ATF 133 III 323 consid. 5.1 et 132 III 122 consid. 4.1), et, en cas d'omission, si l'auteur avait une obligation juridique d'agir (ATF 126 III 113 consid. 2a/aa). L'illicéité ne peut résulter que de la violation d'une norme protégeant le lésé contre un dommage du genre de celui qui est survenu, la création d'un état de choses dangereux ne suffisant pas (ATF 124 III 297 consid. 5b ; arrêt du Tribunal fédéral 4A_258/2017 du 3 avril 2018 consid. 6.1). De telles normes peuvent résulter de l'ensemble de l'ordre juridique suisse, qu'il s'agisse du droit privé, administratif ou pénal; peu importe qu'elles soient écrites on non écrites, de droit fédéral ou de droit cantonal (ATF 116 Ia 169 consid. 2c). 2.1.3. Selon l'art. 41 al. 2 CO, celui qui cause intentionnellement un dommage à autrui par des faits contraires aux moeurs est également tenu de le réparer. Un acte contraire aux moeurs n'est admis qu'exceptionnellement et avec la plus grande retenue, la contrariété aux moeurs ne devant pas être utilisée pour vider de sa substance l'exigence de l'illicéité et le droit ne cherchant qu'à garantir un minimum d'éthique. L'art. 41 al. 2 CO vise en premier lieu la chicane, en ce sens qu'est contraire aux bonnes moeurs selon cette disposition un comportement qui ne sert pas à sauvegarder les intérêts propres de son auteur, mais qui tend exclusivement ou essentiellement à porter atteinte aux intérêts d'autrui (ATF 124 III 297 consid. 5e).</w:t>
      </w:r>
    </w:p>
    <w:p>
      <w:r>
        <w:rPr>
          <w:b/>
        </w:rPr>
        <w:t>E. 2.2</w:t>
      </w:r>
    </w:p>
    <w:p>
      <w:r>
        <w:t>En l'espèce, sur le montant total de EUR 1'700'000.- versé par les parties plaignantes sur le compte de I______ puis détourné sur instructions de l'appelant C______, l'appelant A______ (ci-après : l'appelant) a été reconnu coupable de complicité d'abus de confiance seulement en lien avec le transfert de EUR 390'000.- sur son propre compte. Selon le précédent arrêt de la CPAR, validé sur le plan pénal par le Tribunal fédéral, il a certes favorisé en toute connaissance de cause l'appropriation de ce montant, mais il a implicitement été acquitté pour le surplus des chefs d'accusation retenus contre lui. Les premiers juges avaient en effet considéré qu'il n'était pas impliqué dans le détournement du reste des fonds versés par les parties plaignantes, ce qui n'avait pas été contesté en appel. Il est ainsi acquis aux débats que l'appelant n'a pas commis d'infraction pénale en lien avec les fonds détournés qui n'ont pas été versés sur son compte, ce qui doit en principe conduire au rejet des conclusions civiles dans cette mesure. On ne voit par ailleurs pas la violation de quelle autre norme protégeant le patrimoine des parties plaignantes lui serait imputable. Au vu de la nature purement économique du préjudice en cause, sa responsabilité ne peut dès lors être engagée davantage, en particulier au seul motif qu'il connaissait la finalité de la structure mise en place par l'appelant C______ et qu'il n'aurait rien entrepris pour éviter la survenance du dommage. Les parties plaignantes s'écartent des considérants des décisions cantonales en imputant à l'appelant une implication importante et déterminante aux côtés des autres prévenus en relation avec l'ensemble des détournements commis. Elles reconnaissent ce faisant que son rôle n'était pas clairement défini et laissent ouverte la question de la norme qu'il aurait enfreinte en rapport avec les fonds qui n'ont pas été versés sur son compte. Les parties plaignantes se prévalent par ailleurs vainement d'un acte contraire aux moeurs. Les actes imputables à l'appelant ne procèdent en effet pas d'un comportement essentiellement chicanier. Même à admettre qu'il aurait joué un rôle déterminant aux côtés des autres prévenus en relation avec le détournement de l'intégralité des fonds détournés, son mobile relèverait toujours, comme mis en évidence par les parties plaignantes elles-mêmes, de l'appât du gain, et non du seul désir de nuire aux intérêts de ces dernières.</w:t>
      </w:r>
    </w:p>
    <w:p>
      <w:r>
        <w:rPr>
          <w:b/>
        </w:rPr>
        <w:t>E. 2.3</w:t>
      </w:r>
    </w:p>
    <w:p>
      <w:r>
        <w:t>Les prétentions civiles admises en première instance comprenaient également le remboursement de différents frais résultant de la mise en vente du bien immobilier sis à N______. Il n'existe cependant pas de lien entre le détournement des EUR 390'000.- versés sur le compte de l'appelant et l'acquisition de cet immeuble, réalisée au moyen du montant de EUR 880'000.- transféré les 27 décembre 2007 et 8 janvier 2008 en faveur de la société M______ SA. Les frais liés à la vente de l'immeuble ne sont ainsi pas imputables à l'appelant, de sorte que les conclusions civiles prises à cet égard sont infondées en tant qu'elles sont dirigées contre lui.</w:t>
      </w:r>
    </w:p>
    <w:p>
      <w:r>
        <w:rPr>
          <w:b/>
        </w:rPr>
        <w:t>E. 2.4</w:t>
      </w:r>
    </w:p>
    <w:p>
      <w:r>
        <w:t>Au vu de ce qui précède, l'appelant conclut à raison à sa condamnation, conjointement et solidairement avec les autres prévenus, à rembourser les fonds détournés seulement à concurrence de EUR 390'000.- et au déboutement des parties plaignantes de leurs conclusions civiles pour le surplus. Conformément à son calcul, le montant précité sera réparti entre elles proportionnellement à la somme des fonds détournés qu'elles ont investie, soit à hauteur de EUR 229'398.- (58.82% de EUR 390'000.-) en faveur de l'HOIRIE E______ et de EUR 160'602.- (41.18% de EUR 390'000.-) en faveur de H______ LLP. Le jugement de première instance sera donc annulé et réformé dans ce sens. La contestation de l'intimée K______ concernant la monnaie de ces chefs de conclusions civiles est hors de propos. L'appelant ne conteste en effet pas et n'a jamais contesté, ni devant les instances cantonales, ni devant le Tribunal fédéral, que le remboursement des montants détournés était dû en Euros. La mention de Francs suisses dans le jugement de première instance résulte d'une inadvertance manifeste des premiers juges, qu'ils ont rectifiée, sans que leur décision sur ce point n'ait été contestée par les parties. Au surplus, ni les intérêts de 5%, courant respectivement des 17 et 21 décembre 2007, ni l'imputation des montants reçus de O______ in Liquidation ne sont litigieux, de sorte qu'ils seront confirmés.</w:t>
      </w:r>
    </w:p>
    <w:p>
      <w:r>
        <w:rPr>
          <w:b/>
        </w:rPr>
        <w:t>E. 3</w:t>
      </w:r>
    </w:p>
    <w:p>
      <w:r>
        <w:t>3.1. Selon l'art. 428 CPP, les frais de la procédure de recours sont mis à la charge des parties dans la mesure où elles ont obtenu gain de cause ou succombé (al. 1 ) ; si l'autorité de recours rend elle-même une nouvelle décision, elle se prononce également sur les frais fixés par l'autorité inférieure (al. 2). Pour déterminer si une partie succombe ou obtient gain de cause, il faut examiner dans quelle mesure ses conclusions sont admises en deuxième instance. Lorsqu'une partie obtient gain de cause sur un point et succombe sur un autre, le montant des frais à mettre à sa charge dépend de manière déterminante du travail nécessaire à trancher chaque point (arrêts du Tribunal fédéral 6B_472/2018 du 22 août 2018 consid. 1.2 et 6B_636/2017 du 1 er septembre 2017 consid. 4.1). En première instance, le prévenu supporte les frais de procédure s'il est condamné (art. 426 al. 1 CPP).</w:t>
      </w:r>
    </w:p>
    <w:p>
      <w:r>
        <w:rPr>
          <w:b/>
        </w:rPr>
        <w:t>E. 3.2</w:t>
      </w:r>
    </w:p>
    <w:p>
      <w:r>
        <w:t>Les parties plaignantes, qui succombent entièrement dans le cadre de la présente procédure consécutive au renvoi du Tribunal fédéral, en supporteront les frais, qui comprennent un émolument de CHF 1'200.-. Il n'y a en revanche pas lieu de revoir la répartition des frais de la première procédure d'appel, mis entièrement à la charge de A______ et de C______, à hauteur respectivement d'un tiers et de deux tiers. La culpabilité de l'appelant pour complicité d'abus de confiance et abus de confiance, qui était entièrement contestée, a en effet été confirmée, sans que le Tribunal fédéral n'annule le précédent arrêt sur ces points. Sa peine n'a au demeurant pas été réduite et ses conclusions en indemnisation ont été rejetées. Quant aux conclusions civiles des parties plaignantes, ayant été considérées à tort comme admises, elles ont échappé à un nouvel examen, et n'ont ainsi pas donné lieu à un travail ayant pu influencer le montant des frais. La répartition des frais de première instance n'a pas non plus à être revue, la condamnation de l'appelant étant acquise.</w:t>
      </w:r>
    </w:p>
    <w:p>
      <w:r>
        <w:rPr>
          <w:b/>
        </w:rPr>
        <w:t>E. 4.1</w:t>
      </w:r>
    </w:p>
    <w:p>
      <w:r>
        <w:t>L'art. 433 al. 1 let. a CPP fonde le droit de la partie plaignante à demander au prévenu une juste indemnité pour les dépenses obligatoires occasionnées par la procédure lorsqu'elle obtient gain de cause, condition remplie si les prétentions civiles sont admises et/ou lorsque le prévenu est condamné. Dans ce dernier cas, la partie plaignante peut être indemnisée pour les frais de défense privée en relation avec la plainte pénale (ATF 139 IV 102 consid. 4.1 et 4.3 ; arrêt du Tribunal fédéral 6B_524/2017 du 22 novembre 2017 consid. 2.1). La partie plaignante adresse ses prétentions à l'autorité pénale ; elle doit les chiffrer et les justifier. Si elle ne s'acquitte pas de cette obligation, l'autorité pénale n'entre pas en matière sur la demande (art. 433 al. 1 let. b CPP). Contrairement à la prétention en indemnisation du prévenu qui constitue un droit et doit être examinée d'office, celle de la partie plaignante n'est pas soumise à la maxime d'instruction et cette dernière doit demeurer active et demander elle-même une indemnisation (arrêt du Tribunal fédéral 1B_475/2011 du 11 janvier 2012 consid. 2.2).</w:t>
      </w:r>
    </w:p>
    <w:p>
      <w:r>
        <w:rPr>
          <w:b/>
        </w:rPr>
        <w:t>E. 4.2</w:t>
      </w:r>
    </w:p>
    <w:p>
      <w:r>
        <w:t>En l'espèce, les parties plaignantes seront déboutées de leurs conclusions en indemnisation de leurs frais de défense afférents à la présente procédure, au double motif qu'elles succombent et qu'elles n'ont ni chiffré ni étayé leurs prétentions. La quotité de l'indemnité due par l'appelant à ce titre dans le cadre de la première procédure d'appel n'est pas remise en cause par ce dernier de sorte que, n'ayant pas à être examinée d'office, elle sera confirmée. Pour ce qui est de l'indemnité en faveur des parties plaignantes pour leurs frais de défense en première instance, l'appelant est fondé à en obtenir une réduction, dans la mesure où les conclusions civiles prises contre lui pour près de EUR 1'800'000.-, bien que confirmée sur leur principe en ce qui concerne le remboursement des fonds détournés, auraient dû être admises seulement à concurrence de EUR 390'000.-. L'appelant est par contre forclos à exiger une réduction tenant également compte du fait que sa condamnation pour complicité d'abus de confiance, qui n'est plus l'objet de la présente procédure sur le plan pénal, a été limitée dans la même mesure. La réduction à laquelle il peut prétendre est ainsi accessoire et sera arrêtée à un sixième, ce qui ramène les indemnités litigieuses dues à chacune des parties plaignantes, conjointement et solidairement avec les autres prévenus, aux montants arrondis de CHF 49'650.- (5/6 ème × CHF 59'560.- = CHF 49'633.33). Le premier jugement sera donc annulé et réformé dans ce sens.</w:t>
      </w:r>
    </w:p>
    <w:p>
      <w:r>
        <w:rPr>
          <w:b/>
        </w:rPr>
        <w:t>E. 5</w:t>
      </w:r>
    </w:p>
    <w:p>
      <w:r>
        <w:t>5.1. Selon l'art. 135 al. 1 CPP, le défenseur d'office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 cf .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que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l'espèce, de l'état de frais de M e B______ sont retenues 6h00 d'examen du dossier et de rédaction des déterminations, durée suffisante compte tenu de l'objet limité de la présente procédure, de surcroît déjà connu du défenseur d'office. L'indemnité lui étant due sera ainsi arrêtée à CHF 1'421.65, correspondant à 6h00 d'activité à CHF 200.-/heure (CHF 1'200.-), plus la majoration forfaitaire de 10% compte tenu de l'activité déjà déployée depuis le début de la procédure (CHF 120.-) et la TVA de 7.7% (CHF 101.65).</w:t>
      </w:r>
    </w:p>
    <w:p>
      <w:r>
        <w:rPr>
          <w:b/>
        </w:rPr>
        <w:t>E. 5.3</w:t>
      </w:r>
    </w:p>
    <w:p>
      <w:r>
        <w:t>Les conclusions en indemnisation de M e L______ seront rejetées, au motif que ses observations ont porté en l'espèce sur un point qui n'était pas litigieux et qu'elle ne peut au surplus pas exiger dans la présente procédure une indemnité pour l'activité menée devant le Tribunal correctionnel dans le cadre de la demande en rectification du prononcé.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