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P/10656/2018 vom 18. November 2020</w:t>
      </w:r>
    </w:p>
    <w:p>
      <w:r>
        <w:t>GE Cour de justice, 2020-11-18, FR</w:t>
      </w:r>
    </w:p>
    <w:p>
      <w:r>
        <w:rPr>
          <w:b/>
        </w:rPr>
        <w:t xml:space="preserve">Quelle: </w:t>
      </w:r>
      <w:r>
        <w:t>https://mcp.opencaselaw.ch/entscheid/ge_gerichte_P_10656_2018</w:t>
      </w:r>
    </w:p>
    <w:p>
      <w:r>
        <w:t>FR: GE_GERICHTE P/10656/2018 du 18 novembre 2020</w:t>
      </w:r>
    </w:p>
    <w:p>
      <w:r>
        <w:t>IT: GE_GERICHTE P/10656/2018 del 18 novembre 2020</w:t>
      </w:r>
    </w:p>
    <w:p>
      <w:pPr>
        <w:pStyle w:val="Heading2"/>
      </w:pPr>
      <w:r>
        <w:t>Regeste</w:t>
      </w:r>
    </w:p>
    <w:p>
      <w:r>
        <w:t>SEQUESTRATION;LÉSION CORPORELLE SIMPLE;MENACE(DROIT PÉNAL);VIOL;TENTATIVE(DROIT PÉNAL);EXPULSION(DROIT PÉNAL) | CP.183; CP.123; CP.180; CP.190; CP.22.al1; CP.66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 constaté par un médecin le lendemain des faits. Ces faits sont constitutifs de lésions corporelles simples (art. 123 CP). Conformément à la jurisprudence, un coup porté au visage, suffisamment fort pour provoquer la rupture d'un vaisseau sanguin, soit un hématome, cause une lésion du corps humain. Le jugement entrepris sera entièrement confirmé à cet égard. 2.6.2. Chef d'accusation B.V Le geste, adressé à un tiers, de passer son doigt sous sa gorge est une menace de mort, puisqu'il simule l'exécution de la personne par égorgement. Une telle menace est objectivement de nature à effrayer la victime. Dans le contexte d'une situation tendue entre sa fille et son ex-compagnon, lequel s'était déjà montré violent physiquement envers elle, il paraît hautement vraisemblable que l'intimé D______ ait pu être effrayé par ce geste, d'autant plus qu'il a été précédé de mots - l'appelant ayant admis avoir insulté l'intimé D______. Au surplus, rien au dossier ne permet de conclure que H______ aurait réellement tenu des propos racistes à son petit-fils et aurait cherché à le séparer de son père. L'appelant a agi intentionnellement et réalisé ainsi l'ensemble des éléments constitutifs de l'infraction de menace (art. 180 CP). Le jugement entrepris sera intégralement confirmé sur ce point. 2.6.3. Chef d'accusation B.VI En saisissant l'intimée F______ par derrière et en la maintenant contre son gré tout en serrant fortement ses bras, pendant un temps suffisant pour qu'elle exprime à trois reprises son refus d'entretenir une relation sexuelle avec lui et qu'il lui rétorque que lui la souhaitait, puis en la soulevant et jetant sur le canapé, le prévenu a fait usage de violence et entravé l'intimée F______ dans sa liberté d'action. La violence physique exercée a atteint un degré certain de gravité puisque les hématomes sur les bras de l'intimée F______ étaient toujours visibles plusieurs jours après les faits. La violence a été utilisée dans l'intention clairement énoncée d'entretenir une relation sexuelle avec la plaignante, malgré ses refus, et donc de l'y contraindre. Conformément à la jurisprudence du Tribunal fédéral rappelée ci-dessus, il n'est pas nécessaire que l'auteur ait dénudé sa victime pour avoir déjà effectué la démarche ultime et décisive vers l'accomplissement de la tentative de viol. Ici, il a entrepris cette dernière étape au moment où, face aux refus de la plaignante F______, il l'a jetée sur le canapé. Il n'a alors été arrêté dans son élan que par la menace d'une dénonciation. Que le sexe de l'appelant ait ou non été en érection lorsqu'il a tenue l'intimée contre lui est sans incidence au vu des éléments qui précèdent. Il en va de même du fait que la scène se soit déroulée rapidement. Il est rappelé aussi que A______ est coutumier du modus operandi de jeter ou renverser au sol, sur un canapé ou un matelas une femme dans l'intention de la violer ( cf. faits retenus dans l'arrêt de la Cour de céans AARP/299/2018 ). Partant, les faits retenus sont constitutifs d'une tentative de viol au sens des art. 22 cum 190 CP. Le jugement entrepris sera entièrement confirmé sur ce point.</w:t>
      </w:r>
    </w:p>
    <w:p>
      <w:r>
        <w:rPr>
          <w:b/>
        </w:rPr>
        <w:t>E. 2.1</w:t>
      </w:r>
    </w:p>
    <w:p>
      <w:r>
        <w:t>Selon l'art. 10 al. 2 CPP, le tribunal apprécie librement les preuves recueillies selon l'intime conviction qu'il retire de l'ensemble de la procédure. Confronté à des versions contradictoires, le juge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w:t>
      </w:r>
    </w:p>
    <w:p>
      <w:r>
        <w:rPr>
          <w:b/>
        </w:rPr>
        <w:t>E. 2.2</w:t>
      </w:r>
    </w:p>
    <w:p>
      <w:r>
        <w:t>Aux termes de l'art. 183 ch. 1 CP, est punissable celui qui, sans droit, aura arrêté une personne, l'aura retenue prisonnière, ou l'aura, de toute autre manière, privée de sa liberté (al. 1) ou qui, en usant de violence, de ruse ou de menace, aura enlevé une personne (al. 2).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 et les références citées). L'infraction est intentionnelle, le dol éventuel suffit.</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2.4</w:t>
      </w:r>
    </w:p>
    <w:p>
      <w:r>
        <w:t>L'art. 180 al. 1 CP sanctionne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L'exigence d'une menace grave doit conduire à exclure la punissabilité lorsque le préjudice évoqué apparaît objectivement d'une importance trop limitée pour justifier la répression pénale. Les menaces de lésions corporelles graves ou de mort doivent être considérées comme des menaces graves au sens de l'art. 180 CP (arrêts du Tribunal fédéral 6B_787/2018 du 1 er octobre 2018 consid. 3.1 ; 6B_1428/2016 du 3 octobre 2017 consid. 2.1 et la référence). En second lieu, il faut que la victime ait été effectivement alarmée ou effrayée. Elle doit craindre que le préjudice annoncé se réalise. L'infraction est intentionnelle, le dol éventuel étant suffisant (arrêt du Tribunal fédéral 6B_578/2016 du 19 août 2016 consid. 2.1). 2.5.1. Aux termes de l'art. 190 al. 1 CP, se rend coupable de viol celui qui, notamment en usant de menace ou de violence,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 ATF 77 IV 169 consid. 1). L'art. 190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(arrêts du Tribunal fédéral 6B_710/2012 du 3 avril 2013 consid. 3.1 ; 6B_311/2011 du 19 juillet 2011 consid. 5.2). Pour qu'il y ait contrainte en matière sexuelle, il faut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6B_493/2016 du 27 avril 2017 consid. 2.2.1 et les références citées). (ATF 122 IV 97 consid. 2b ; arrêt du Tribunal fédéral 6B_502/2017 du 16 avril 2008 consid. 1.1.1). 2.5.2. Sur le plan subjectif, l'infraction est intentionnelle, mais le dol éventuel suffit. L'auteur doit savoir que la victime n'est pas consentante ou, du moins, en accepter l'éventualité, et il doit vouloir ou, tout au moins, accepter qu'elle soit contrainte par le moyen qu'il met en oeuvre ou la situation qu'il exploite (arrêt du Tribunal fédéral 6B_822/2014 du 8 janvier 2015 consid. 3.3). 2.5.3. La tentative suppose que l'auteur réalise tous les éléments subjectifs de l'infraction et qu'il manifeste sa décision de la commettre, mais sans en réaliser tous les éléments objectifs (ATF 120 IV 199 consid. 3e). 2.5.3.1.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 ATF 119 IV 224 consid. 2 [viol]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entre les actes préparatoires et la tentative se détermine sans égard au caractère de l'auteur ou à ses antécédents (ATF 131 IV 100 consid. 7.2.1 ; arrêt du Tribunal fédéral 6B_1122/2018 du 29 janvier 2019 consid. 5.1 et les références citées). En cas de viol, le seuil de la tentative est notamment dépassé lorsque l'auteur fait usage de la violence, élément constitutif objectif. Si l'auteur sait que la femme n'est pas d'accord de commettre l'acte sexuel avec lui et qu'il est décidé à l'obtenir de force, il effectue la démarche ultime et décisive vers l'accomplissement de l'infraction en utilisant la violence. Le fait que l'auteur n'ait pas (encore) dénudé sa victime ne signifie donc pas que le seuil de la tentative n'est pas déjà dépassé (ATF 99 IV 151 consid. 1). 2.5.3.2. Aux termes de la jurisprudence, la tentative de viol a été notamment retenue dans les cas suivants : l'auteur qui tente de force de baisser le pantalon de sa victime, après avoir baissé son propre pantalon et caleçon. La victime s'étant défendue, il y est partiellement parvenu. Les juges ont considéré que le comportement du prévenu avait eu pour objectif de briser la résistance de sa victime et qu'il avait clairement eu recours à la violence pour ce faire (arrêt du Tribunal fédéral 6S.239/2000 du 30 août 2000 consid. 2c) ; l'auteur qui enferme sa victime dans l'intention d'abuser d'elle et passe au stade des menaces directes, lui déclarant qu'il peut la frapper, voire la violer, et devenant de plus en plus excité et agressif (ATF 119 IV 224 consid. 2) ; l'auteur qui use de la violence pour attirer de force sa victime dans la voiture, l'y couche et s'étend sur elle ; les actions de mener sa victime sur une route secondaire et contre la volonté de celle-ci, soit les actes avant d'employer la violence sont des actes préparatoires (ATF 99 IV 151 consid. 1) ; l'auteur qui enlève de force le pantalon et la culotte de sa victime, l'assied sur une table et essaie de la pénétrer. L'intensité de la force physique était relativement faible, mais elle était renforcée par l'attitude menaçante de l'auteur et le fait qu'ils se trouvaient seuls dans une cabane (arrêt du Tribunal fédéral 6B_493/2016 du 27 avril 2017). 2.6.1. Chefs d'accusation B.III et B.IV 2.6.1.1. A titre préalable, il est relevé que - contrairement à ce que prétend l'appelant - les circonstances entourant le dépôt de plainte de l'intimée D______, le lendemain de l'incident impliquant son père, démontrent que celle-ci a franchi le pas de la dénonciation du comportement violent de son ex-compagnon lorsque celui-ci s'en est pris non plus seulement à elle, mais aussi à son entourage. Elle avait d'ailleurs déjà pris cette direction quelques jours auparavant par le dépôt d'une main-courante contre le prévenu, étayée par un constat médical. Du reste, au cours de l'instruction, le prévenu lui-même a indiqué avoir de moins en moins rendu visite à son fils pour des questions de santé, sans lien avec l'intimée D______, et que celle-ci l'avait toujours soutenu. 2.6.1.2. Le prévenu et l'intimée D______ ont raconté un déroulement des faits quasiment identique de leur rencontre le 28 décembre 2017 (porte verrouillée, couteau en évidence, menace de suicide, objet de la discussion). Ils diffèrent sur la présence des clés dans la serrure et sur le fait que l'intimée D______ ait ou non pleuré dans les bras de l'appelant. Or, nul besoin de trancher ces deux éléments pour retenir un verdict de culpabilité de séquestration. La présence du couteau et la menace explicite de s'en servir, à tout le moins contre lui-même, est déjà suffisante pour réaliser l'élément constitutif de la contrainte au moyen d'une menace exigé par l'art. 183 CP. En verrouillant la porte d'entrée et en disposant en vue un couteau dont il a menacé de faire usage, le prévenu a privé l'intimée D______ de sa liberté de déplacement. En effet, à teneur de la jurisprudence rappelée ci-dessus, il est suffisant que la personne soit placée dans des conditions telles qu'elle se sente dans l'impossibilité de s'en aller. Son ex-compagne a expressément déclaré, sans que l'on puisse douter de sa crédibilité, qu'elle avait eu peur à la vue du couteau, peur que le prévenu a lui-même constatée. Ce n'était pas la première fois qu'il menaçait de se suicider. Il avait déjà fait des tentatives - récentes -, notamment par voie médicamenteuse. Elle le savait psychologiquement fragile au moment des faits puisqu'il sortait d'un séjour à la Clinique J______ et lui avait demandé de l'y ramener. Elle était encore à cette époque un soutien pour lui, comme il l'a lui-même déclaré, et se sentait très vraisemblablement dans l'obligation de lui venir en aide, étant rappelé qu'il était le père de son fils, qu'il l'avait suivie en Suisse pour fonder une famille mais n'avait pas réussi à s'y intégrer, à se construire une situation. Dans ces circonstances, l'appelant a placé l'intimée D______ dans l'impossibilité de quitter les lieux, craignant qu'il ne s'exécute ou pire que cette fois-ci il ne s'en prenne à elle, et que son fils perde l'un de ses parents. Pour toutes ces raisons, la menace orale de suicide, accompagnée de la présentation d'un couteau, ont définitivement empêché l'intimée D______ de quitter les lieux, avant de s'être assurée de l'avoir dissuadé de tout passage à l'acte. Il est aussi hautement crédible qu'elle ait eu peur pour sa propre vie. Selon elle, il lui a clairement déclaré que le couteau ne lui était pas destiné « si elle se tenait tranquille ». La discussion a duré une heure, jusqu'à ce que le prévenu revienne à la raison et accepte de repousser son retour à la Clinique J______ au lendemain. A partir de là, il a déverrouillé la porte et permis à son ex-compagne de rentrer chez elle. En tout état, il sera retenu que l'appelant a verrouillé la porte et placé les clés dans sa poche. Il a en effet admis que l'objectif de l'amener dans son appartement était d'avoir une discussion avec l'intimée D______, de sorte qu'il voulait de toute évidence l'empêcher de s'y soustraire en quittant les lieux. Il avait d'ailleurs dû longuement insister pour la convaincre de monter dans son logement. Il aurait été étonnant qu'il laisse ensuite les clés sur la porte. L'intimée D______ a de manière constante indiqué que la clé ne se trouvait plus dans la serrure. Partant, le prévenu a intentionnellement séquestré l'intimée D______, réalisant les éléments constitutifs objectifs et subjectifs de l'art. 183 CP. L'appelant ne saurait être suivi lorsqu'il invoque une erreur sur les faits (art. 13 CP). Il ne conteste pas avoir posé en évidence un couteau de cuisine et déclaré qu'il en ferait usage si la plaignante ne satisfaisait pas ses requêtes. De même, il a admis avoir constaté que l'intimée D______ avait été effrayée à la vue de ce couteau. 2.6.1.3. Le 26 mai 2018, le prévenu a bien asséné volontairement un « coup de tête » à l'intimée D______. Aucun élément au dossier ne permet d'écarter le témoignage de K______, laquelle a confirmé avoir vu l'appelant frapper de sa tête celle de son ex-compagne. Cette dernière a été constante dans ses déclarations tout au long de la procédure. Le prévenu a finalement reconnu lui avoir causé un hématome. L'appelant n'est pas crédible lorsqu'il affirme que le coup était involontaire et provoqué par l'intimée D______, laquelle aurait prétendument cherché à appuyer sa tête contre la sienne. En effet, ce jour-là, il est établi que le prévenu a initié la dispute, mécontent de la coupe de cheveux de leur fils. Les deux adultes n'étaient plus en couple et un contact physique voulu par l'intimée D______ paraîtrait très inhabituel en pleine dispute après que celle-ci avait déjà été atteinte physiquement par son ex-compagnon puisqu'elle avait été poussée sur le lit de la chambre, voire saisie à la gorge. Au vu de ce qui précède, le coup de tête a été porté intentionnellement par le prévenu à l'intimée D______ et lui a occasionné un hématome de 4 cm</w:t>
      </w:r>
    </w:p>
    <w:p>
      <w:r>
        <w:rPr>
          <w:b/>
        </w:rPr>
        <w:t>E. 3.1</w:t>
      </w:r>
    </w:p>
    <w:p>
      <w:r>
        <w:t>Le viol est sanctionné d'une peine privative de liberté d'un à dix ans (art. 190 al. 1 CP).La séquestration est punie d'une peine privative de liberté de cinq ans au plus ou d'une peine pécuniaire (art. 183 ch. 1 CP). L'infraction de menace et les lésions corporelles simples sont passibles d'une peine privative de liberté de trois ans au plus ou d'une peine pécuniaire (art. 123 ch. 1 et 2 CP et art. 180 CP). La tentative peut avoir des effets atténuants sur la peine (art. 22 CP ; cf. infra consid. 3.6.)</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3.4</w:t>
      </w:r>
    </w:p>
    <w:p>
      <w:r>
        <w:t>La détermination du nombre de jours-amende est fonction de la culpabilité de l'auteur (art. 34 al. 1 1 ère phrase CP).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rPr>
          <w:b/>
        </w:rPr>
        <w:t>E. 3.5</w:t>
      </w:r>
    </w:p>
    <w:p>
      <w:r>
        <w:t>Selon l'art. 34 al. 2 2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rPr>
          <w:b/>
        </w:rPr>
        <w:t>E. 3.6</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rPr>
          <w:b/>
        </w:rPr>
        <w:t>E. 3.7</w:t>
      </w:r>
    </w:p>
    <w:p>
      <w:r>
        <w:t>En l'espèce, la faute de l'appelant est grave. Il s'est attaqué à l'intégrité sexuelle, à l'intégrité physique et à la liberté de proches (son ex-compagne, son ex-beau-père, une amie). Il n'a pas hésité à recourir à la force physique pour assoir sa domination à l'encontre des deux femmes, faisant fi des répercussions sérieuses que de tels actes pouvaient avoir sur leur état psychologique. L'intimée F______ présente toujours des séquelles. Les mobiles des quatre événements apparaissent égoïstes et futiles. L'appelant a agi vis-à-vis de son ex-compagne dans le seul but d'assouvir son besoin de domination et d'emprise qu'il souhaitait maintenir après leur séparation, trouvant un prétexte pour initier une discussion/dispute comme la coupe de cheveux de son fils ou le nouveau compagnon de l'intimée D______. Pour s'assurer l'attention de celle-ci, il a également fait usage de chantage au suicide, voire de menace à l'égard de la plaignante, la plaçant dans la crainte qu'il ne passe à l'acte. Il s'en est pris au père de son ex-compagne, le menaçant de mort, par colère, n'ayant pas obtenu ce qu'il voulait et considérant l'intimé D______ comme un obstacle dans sa relation avec son fils, ce que rien à la procédure ne confirme. Il a choisi de s'en prendre à l'intégrité sexuelle de l'intimée F______, avec une indifférence complète pour sa santé, son bien-être et sa liberté, dans l'objectif de satisfaire ses pulsions, alors qu'elle lui faisait confiance. Sa situation personnelle n'explique nullement ses actes, d'autant moins qu'il se présente comme un pilier dans l'éducation de son fils. La collaboration du prévenu est mauvaise dans la mesure où il n'a eu de cesse de contester les faits qui lui sont reprochés, encore en appel, malgré les preuves et les témoignages qui l'accablent. Il n'a montré aucun remords, rejetant la faute sur ses victimes, dont il s'est évertué à dénigrer la réputation. Le prévenu a agi avec une responsabilité très légèrement restreinte. Au moment des faits, il présentait un trouble mixte de la personnalité avec des traits émotionnellement labiles et psychopathiques, ainsi qu'une utilisation nocive pour la santé d'alcool et de cocaïne. Les faits commis au préjudice de l'intimée F______ sont demeurés au stade de la tentative. Cependant, au vu en particulier des conséquences effectives de ses actes, notamment sur l'équilibre psychologique de l'intimée F______, et du fait qu'il ne s'est pas interrompu de son propre chef mais sous la menace d'une dénonciation pénale, la peine sera faiblement atténuée. Lors des quatre événements objets de la présente procédure, l'appelant était prévenu pour viol et tentative de viol, faits pour lesquels il a été condamné à une peine privative de liberté de quatre ans. La procédure pénale dirigée contre lui ne l'a nullement dissuadé de réitérer ses agissements coupables, en particulier de s'en prendre physiquement et sexuellement à d'autres femmes. Le prononcé d'une peine privative de liberté s'impose pour la séquestration au vu de la gravité des faits (chantage au suicide, présentation d'un couteau et menace expresse d'en faire usage en cas de départ de l'intimée D______ ou de refus de cesser toute relation avec son nouveau compagnon) et de l'absence complète de prise de conscience du prévenu. Partant, il convient de prononcer une peine d'ensemble hypothétique tenant compte de la sanction prononcée par la CPAR le 27 septembre 2018 entrant en concours réel rétrospectif avec la présente sanction (art. 49 al. 2 CP). Il y a en outre concours entre les infractions de séquestration et de tentative de viol, ce qui justifie de prononcer une peine privative de liberté aggravée. Les actes abstraitement les plus graves sont ceux qualifiés de tentative de viol. En tenant compte du concours réel rétrospectif avec la décision du 27 septembre 2018 condamnant l'appelant à une peine privative de liberté de quatre ans, la CPAR juge appropriée une peine privative de liberté d'un an. A ces cinq ans (quatre plus un) s'ajouteront six mois en lien avec l'infraction de séquestration, d'où une peine privative de liberté globale hypothétique de cinq ans et demi. Aussi, la peine privative de liberté complémentaire prononcée par le TCO de 18 mois est appropriée et sera confirmée. Les infractions de lésions corporelles simples et de menaces seront sanctionnées d'une peine pécuniaire. Elles entrent en concours. La quotité fixée par le TCO à 120 jours-amende est adéquate au vu des éléments précités (60 jours-amende pour chacune), de même que le montant du jour-amende arrêté à CHF 30.-. Aucun sursis ne sera accordé au prévenu, lequel a déjà été condamné pour s'en être pris à l'intégrité physique d'autrui. Il présente de toute évidence un risque de commettre de nouvelles infractions violentes, selon l'expertise psychiatrique. Le pronostic est donc défavorable. Au surplus, conformément à la jurisprudence, mesure et sursis sont incompatibles puisque la mesure suppose l'existence d'un risque de récidive (ATF 135 IV 180 consid. 2.3). Le jugement entrepris sera entièrement confirmé à cet égard.</w:t>
      </w:r>
    </w:p>
    <w:p>
      <w:r>
        <w:rPr>
          <w:b/>
        </w:rPr>
        <w:t>E. 4</w:t>
      </w:r>
    </w:p>
    <w:p>
      <w:r>
        <w:t>La mesure prononcée par les premiers juges à l'encontre du prévenu consistant en un traitement psychiatrique en suivi ambulatoire, intégrant la dimension addictive du trouble de l'appelant, est également confirmée (art. 63 CP). Le traitement a pour objectif que le prévenu travaille sur la prise de conscience de son fonctionnement psychique. Selon l'expert, un risque de rupture de soins existe, ce qui commande son prononcé contre la volonté de l'appelant. La CPAR a pris note du rapport du service de médecine pénitentiaire produit en appel, à teneur duquel l'alliance thérapeutique est bonne et suivie depuis le début de son incarcération. Cela n'infirme en rien la nécessité d'un cadre imposé et, au vu de la gravité des faits reprochés, des antécédents de violence, du risque de récidive considéré comme moyen à élevé, il apparaît nécessaire d'éviter toute rupture de soin. L'exécution de la peine privative de liberté est compatible avec une telle mesure.</w:t>
      </w:r>
    </w:p>
    <w:p>
      <w:r>
        <w:rPr>
          <w:b/>
        </w:rPr>
        <w:t>E. 5</w:t>
      </w:r>
    </w:p>
    <w:p>
      <w:r>
        <w:t>5.1. Conformément à l'art. 66a al. 1 let. g et h CP, le juge expulse un étranger du territoire suisse pour une durée de cinq à quinze ans s'il est reconnu coupable de séquestration ou de viol (art. 190 CP), quelle que soit la quotité de la peine prononcée à son encontre. L'art. 66a al. 1 CP s'applique également à la tentative de commettre une infraction énumérée dans le catalogue (ATF 144 IV 168 consid. 1.4.2).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5.2.1. La loi ne définit pas ce qu'il faut entendre par une " situation personnelle grave " (première condition cumulative) ni n'indique les critères à prendre en compte dans la pesée des intérêts (seconde condition cumulative). En recourant à la notion de cas de rigueur à l'art. 66a al. 2 CP, le législateur a fait usage d'un concept ancré depuis longtemps dans le droit des étrangers ( cf.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5.2.2.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du 18 avril 1999 [Cst.]) et par le droit international, en particulier l'art. 8 de la Convention de sauvegarde des droits de l'homme et des libertés fondamentales du 4 novembre 1950 (CEDH ; arrêt du Tribunal fédéral 6B_1192/2018 du 23 janvier 2019 consid. 2.1.2 et références citées). 5.2.3.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5.2.4.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 simple tolérance (ATF 134 II 10 consid. 4.3 ; arrêts 6B_143/2019 du 6 mars 2019, consid. 3.3.2 et 6B_1329/2018 du 14 février 2019 consid. 2.3.2.). 5.2.5.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 1 consid. 6.1). La présence d'une famille en Suisse, soit d'une épouse/concubine et d'un enfant, ne peut, à elle seule, commander l'application automatique de la clause de rigueur (arrêt du Tribunal fédéral 6B_143/2019 du 6 mars 2019 consid. 3.4.2).</w:t>
      </w:r>
    </w:p>
    <w:p>
      <w:r>
        <w:rPr>
          <w:b/>
        </w:rPr>
        <w:t>E. 5.3</w:t>
      </w:r>
    </w:p>
    <w:p>
      <w:r>
        <w:t>En l'espèce, l'appelant conteste le prononcé de son expulsion en se prévalant exclusivement de sa relation avec son fils. Depuis son arrivée en Suisse en 2011, l'appelant n'a pas développé de réseau social ou professionnel. Son intégration peut être considérée comme inexistante, alors qu'il a passé plus de huit ans à Genève avant son incarcération. Il n'a pas trouvé d'emploi, si bien qu'après s'être séparé de sa compagne, il était entièrement soutenu par l'Hospice général. Il a une relation suivie avec son fils qu'il qualifie de « fusionnelle ». Selon le rapport médical produit par l'appelant, il souffre d'un diabète de type 2, actuellement stable, pour lequel il est pris en charge régulièrement à titre préventif. Il est suivi sur le plan psychologique. L'appelant a déclaré au cours de la procédure avoir eu une situation professionnelle et financière florissante au Maroc avant son départ pour la Suisse. Ses parents, ainsi que sa soeur et son frère, y vivent toujours. Il y est retourné à plusieurs reprises depuis son arrivée en Suisse. Selon lui, le Maroc dispose de toute l'infrastructure nécessaire pour le soigner. Partant, la seule présence de son fils sur sol helvétique ne suffit pas pour l'emporter sur l'intérêt public à son expulsion, l'appelant s'étant rendu coupable d'infractions sérieuses contre l'intégrité sexuelle et physique ainsi que contre la liberté. Il ne saurait se prévaloir du respect au droit de sa vie privée au sens de l'art. 8 CEDH en l'absence d'une quelconque intégration en Suisse, étant rappelé que la présence d'un enfant mineur ne suffit pas à elle seule à faire prévaloir l'intérêt privé à demeurer en Suisse (arrêt du Tribunal fédéral 6B_143/2019 du 6 mars 2019 consid. 3.4.2), et que la relation pourra être maintenue, lors de vacances de l'enfant hors de Suisse, ainsi que grâce aux moyens de communication d'aujourd'hui. Au vu de l'ensemble de ces éléments, l'appelant ne se trouve pas dans une situation personnelle grave et les intérêts publics à l'expulsion, compte tenu des infractions commises, l'emportent clairement sur l'intérêt privé de celui-ci à demeurer en Suisse. Au vu de sa bonne situation (financière, professionnelle et psychologique) au Maroc, avant son arrivée en Suisse, tout porte à penser que sa réintégration dans son Etat d'origine est possible. En l'absence de réalisation des conditions de la clause de rigueur, aucun examen de la proportionnalité n'est nécessaire. La durée de cinq ans articulée en première instance apparaît comme proportionnée aux circonstances du cas d'espèce. Infondé, l'appel doit être rejeté sur ce point et l'expulsion de l'appelant pour une durée de cinq ans confirmée. Il n'y a pas lieu d'étendre la mesure d'expulsion prononcée à l'ensemble de l'espace Schengen, l'expulsion du territoire suisse suffisant à atteindre le but recherché.</w:t>
      </w:r>
    </w:p>
    <w:p>
      <w:r>
        <w:rPr>
          <w:b/>
        </w:rPr>
        <w:t>E. 6</w:t>
      </w:r>
    </w:p>
    <w:p>
      <w:r>
        <w:t>6.1.1. Selon l'art. 122 CPP, en qualité de partie plaignante, le lésé peut faire valoir des conclusions civiles déduites de l'infraction par adhésion à la procédure pénale (al. 1), les mêmes droits appartenant aux proches de la victime, dans la mesure où ils font valoir contre le prévenu des conclusions civiles propres (al. 2). 6.1.2. Les conclusions civiles consistent principalement en des prétentions en dommages-intérêts (art. 41 ss de la loi fédérale complétant le Code civil suisse [CO]) et en réparation du tort moral (art. 47 et 49 CO) dirigées contre le prévenu (A. KUHN / Y. JEANNERET [éd.], Commentaire romand : Code de procédure pénale suisse , 2 ème éd., 2019, n. 16 s. ad art. 122). 6.1.3. Selon l'art. 49 al. 1 CO,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L'octroi d'une réparation morale à l'intimée F______ se justifie sur le principe, notamment au vu du rapport médical des HUG du 27 novembre 2019, faisant état de la persistance de souffrances notables en lien avec les faits et la procédure pénale qui s'en est suivie et de plusieurs hospitalisations. La quotité de CHF 2'000.-, arrêtée par les premiers juges, n'est pas excessive et n'a du reste pas fait l'objet d'une critique spécifique de l'appelant. Elle sera donc confirmée.</w:t>
      </w:r>
    </w:p>
    <w:p>
      <w:r>
        <w:rPr>
          <w:b/>
        </w:rPr>
        <w:t>E. 7</w:t>
      </w:r>
    </w:p>
    <w:p>
      <w:r>
        <w:t>L'appelant, qui succombe, supportera les frais de la procédure envers l'État qui comprennent un émolument de décision de CHF 3'000.- (art. 428 CPP), sans modification de la répartition des frais de première instance, telle qu'elle résulte du jugement entrepris, au vu de la confirmation de la culpabilité du prévenu dans tous les complexes de faits (art. 428 al. 3 CPP).</w:t>
      </w:r>
    </w:p>
    <w:p>
      <w:r>
        <w:rPr>
          <w:b/>
        </w:rPr>
        <w:t>E. 8.1</w:t>
      </w:r>
    </w:p>
    <w:p>
      <w:r>
        <w:t>Selon l'art. 429 al. 1 let. b CPP, le prévenu acquitté en partie a le droit d'obtenir une indemnité pour le dommage économique subi au titre de sa participation obligatoire à la procédure pénale. De même, il a droit à une réparation du tort moral subi en raison d'une atteinte particulièrement grave à sa personnalité, au sens des art. 28 al. 2 CC ou 49 CO, du fait de la procédure (art. 429 al. 1 let.c CPP).</w:t>
      </w:r>
    </w:p>
    <w:p>
      <w:r>
        <w:rPr>
          <w:b/>
        </w:rPr>
        <w:t>E. 8.2</w:t>
      </w:r>
    </w:p>
    <w:p>
      <w:r>
        <w:t>Malgré son acquittement partiel en première instance (portant sur un unique complexe de faits), une condamnation subsiste d'une gravité certaine, de sorte qu'il peut être retenu que la procédure, si elle avait été d'emblée limitée aux infractions pour lesquelles l'appelant est condamné, n'aurait pas causé une atteinte moindre à ses intérêts économiques ou à son bien-être. Les prétentions de l'appelant à cet égard doivent donc être rejetées.</w:t>
      </w:r>
    </w:p>
    <w:p>
      <w:r>
        <w:rPr>
          <w:b/>
        </w:rPr>
        <w:t>E. 9.1</w:t>
      </w:r>
    </w:p>
    <w:p>
      <w:r>
        <w:t>En appel, la partie plaignante D______ obtient gain de cause de sorte qu'il se justifie de faire droit à sa demande d'indemnisation (art. 433 et 436 CPP). Les honoraires d'avocat doivent être proportionnés (N. SCHMID, Schweizerische Strafprozessordnung : Praxiskommentar , 2 ème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de la partie plaignante (M. NIGGLI / M. HEER / H. WIPRÄCHTIGER (éds), Strafprozessordnung - Jugendstrafprozessordnung, Basler Kommentar StPO/JStPO , 2 ème éd., Bâle 2014,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9.2</w:t>
      </w:r>
    </w:p>
    <w:p>
      <w:r>
        <w:t>En l'espèce, 04h00 de conférence avec la cliente, ainsi que 07h00 de rédaction du mémoire de réponse apparaissent suffisantes et seront retenues. Le dossier est bien connu puisque plaidé en première instance et ne présente pas de complexité particulière en appel, la partie plaignante concluant à la confirmation du jugement entrepris. Le tarif horaire du collaborateur sera ramené à CHF 350.-/heure conformément à la jurisprudence rappelée ci-dessus. L'appelant sera dès lors condamné à payer à l'intimée un montant de CHF 4'620.- (11h00 d'activité [CHF 3'850.-] + forfait de 20% [CHF 770.-]) en couverture des dépenses nécessaires de cette dernière durant la procédure d'appel, TVA au taux de 7.7% comprise.</w:t>
      </w:r>
    </w:p>
    <w:p>
      <w:r>
        <w:rPr>
          <w:b/>
        </w:rPr>
        <w:t>E. 9.3</w:t>
      </w:r>
    </w:p>
    <w:p>
      <w:r>
        <w:t>L'indemnisation de l'intimée par le prévenu pour les dépenses de la procédure de première instance lui est acquise et confirmée.</w:t>
      </w:r>
    </w:p>
    <w:p>
      <w:r>
        <w:rPr>
          <w:b/>
        </w:rPr>
        <w:t>E. 10</w:t>
      </w:r>
    </w:p>
    <w:p>
      <w:r>
        <w:t>10.1. Selon l'art. 135 al. 1 CPP, le défenseur d'office ou le conseil juridique gratuit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10.3</w:t>
      </w:r>
    </w:p>
    <w:p>
      <w:r>
        <w:t>Les heures vouées par la défenseure d'office de A______ à l'examen de la décision entreprise, à la rédaction de la déclaration d'appel, au suivi du dossier ainsi qu'à la préparation du bordereau de pièces seront retranchées puisque comprises dans le forfait de 10%. Seules 15h00 consacrées à la rédaction du mémoire d'appel/recherches juridiques seront retenues pour la défenseure d'office du prévenu, le dossier étant censé bien connu de l'avocate qui venait de le plaider en première instance. En conclusion, l'indemnité sera arrêtée à CHF 4'522.30 correspondant à 18h15 d'activité au tarif de CHF 200.-/heure (CHF 3'650.-) et 01h30 à celui de CHF 110.-/heure (CHF 165.-), plus la majoration forfaitaire de 10% (CHF 381.50) et la TVA au taux de 7,7% (CHF 325.80).</w:t>
      </w:r>
    </w:p>
    <w:p>
      <w:r>
        <w:rPr>
          <w:b/>
        </w:rPr>
        <w:t>E. 10.4</w:t>
      </w:r>
    </w:p>
    <w:p>
      <w:r>
        <w:t>Les heures consacrées à l'étude de la procédure pénale par le conseil juridique gratuit de l'intimée F______ seront retranchées puisque comprise dans le forfait et le dossier connu de l'avocate. Partant, l'indemnité sera arrêtée à CHF 1'910.25 correspondant à 10h45 d'activité au tarif de CHF 150.-/heure (CHF 1'612.50), plus la majoration forfaitaire de 10% (CHF 161.25) et la TVA au taux de 7,7% (CHF 136.50).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