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P/10643/2021 vom 18. Juni 2024</w:t>
      </w:r>
    </w:p>
    <w:p>
      <w:r>
        <w:t>GE Cour de justice, 2024-06-18, FR</w:t>
      </w:r>
    </w:p>
    <w:p>
      <w:r>
        <w:rPr>
          <w:b/>
        </w:rPr>
        <w:t xml:space="preserve">Quelle: </w:t>
      </w:r>
      <w:r>
        <w:t>https://mcp.opencaselaw.ch/entscheid/ge_gerichte_P_10643_2021</w:t>
      </w:r>
    </w:p>
    <w:p>
      <w:r>
        <w:t>FR: GE_GERICHTE P/10643/2021 du 18 juin 2024</w:t>
      </w:r>
    </w:p>
    <w:p>
      <w:r>
        <w:t>IT: GE_GERICHTE P/10643/2021 del 18 giugno 2024</w:t>
      </w:r>
    </w:p>
    <w:p>
      <w:pPr>
        <w:pStyle w:val="Heading2"/>
      </w:pPr>
      <w:r>
        <w:t>Regeste</w:t>
      </w:r>
    </w:p>
    <w:p>
      <w:r>
        <w:t>IN DUBIO PRO REO;VIOLATION DU DEVOIR D'ASSISTANCE OU D'ÉDUCATION;LÉSION CORPORELLE SIMPLE;VOIES DE FAIT;INJURE;CONTRAINTE(DROIT PÉNAL) | CP.123.al3.ch2; CP.126.al1; CP.181; CP.177; CP.219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l'appelant sollicite l'apport de la nouvelle procédure pénale ouverte à son encontre ainsi qu'à l'encontre de l'intimée, de même que du dossier pendant par-devant le TPAE. Or, avec le MP, il faut constater que l'administration de ces preuves n'est pas nécessaire pour le traitement de la présente cause, suffisamment instruite. En outre, elles n'apparaissent pas susceptibles d'apporter de nouveaux éléments probants, étant souligné que la seconde procédure pénale concerne d'autres faits que ceux présentement reprochés. Partant, la réquisition de preuves sera rejetée.</w:t>
      </w:r>
    </w:p>
    <w:p>
      <w:r>
        <w:rPr>
          <w:b/>
        </w:rPr>
        <w:t>E. 3</w:t>
      </w:r>
    </w:p>
    <w:p>
      <w:r>
        <w:t>3.1.1.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faits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3.1.3. Lorsqu'il est confronté à des versions contradictoires, le juge forge sa conviction quant aux faits sur la base d'un ensemble d'éléments ou d'indices convergents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3.1.4. Aux termes de l'art. 123 ch.1 al. 1 CP, quiconque, intentionnellement, aura fait subir à une personne une autre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3.1.5.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La distinction entre lésions corporelles et voies de fait peut s'avérer délicate.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Une certaine marge d'appréciation est reconnue au juge du fait car l'établissement des faits et l'interprétation de la notion juridique indéterminée sont étroitement liés (ATF 134 IV 189 consid. 1.3 ; 119 IV 25 consid. 2a). Leur poursuite a lieu d'office si l'infraction a été commises au détriment du conjoint pendant le mariage, ou d'un enfant dont l'auteur avait la garde ou sur lequel il avait le devoir de veiller, notamment (art. 123 ch. 2 al. 3 CP et art. 126 al. 2 let. a et b CP). 3.1.6. L’infraction d’injure prévue à l’art. 177 al. 1 CP punit quiconque aura, par la parole, l’écriture, l’image, le geste ou par des voies de fait, attaqué autrui dans son honneur.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3.1.7. Selon l'art. 181 CP, quiconque, en usant de violence envers une personne ou en la menaçant d'un dommage sérieux, ou en l'entravant de quelque autre manière dans sa liberté d'action, l'oblige à faire, à ne pas faire ou à laisser faire un acte se rend coupable de contrainte.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Pour que l'infraction soit consommée, il faut que la victime, sous l'effet de moyens de contrainte illicites, commence à modifier son comportement, subissant ainsi l'influence voulue par l'auteur (ATF 129 IV 262 ; 106 IV 125 consid. 2b). 3.1.8. L'art. 219 al. 1 CP punit d'une peine privative de liberté de trois ans au plus ou d'une peine pécuniaire quiconque aura violé son devoir d'assister ou d'élever une personne mineure dont il aura ainsi mis en danger le développement physique ou psychique, ou qui aura manqué à ce devoir. Pour que cette disposition soit applicable, il faut d'abord que l'auteur ait eu envers une personne mineure un devoir d'assistance, c'est-à-dire de protection, ou un devoir d'éducation, soit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La violation du devoir d'assistance ou d'éducation ou le manquement à ce devoir doit avoir aussi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2ème éd., Bâle 2017, n. 3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Du point de vue subjectif, l’auteur peut avoir agi intentionnellement, auquel cas le dol éventuel suffit, ou par négligence (art. 219 al. 2 CP). Le Tribunal fédéral a admis que les lésions corporelles simples qualifiées et la violation du devoir d'assistance ou d'éducation soient appliquées en concours, lorsque la maltraitance d'un enfant d'une certaine durée et d'une certaine intensité porte non seulement atteinte à son intégrité physique et mentale, mais également à son développement physique et psychique (arrêt du Tribunal fédéral 6S_273/2004 du 24 septembre 2004 ; 6B_498/2008 du 18 août 2008 consid. 3.3). Faits à l'encontre de C______ 3.2.1. En l'espèce, l'intimée a été, pour l'essentiel, constante dans ses déclarations relatives aux violences qu'elle avait subies à titre personnel. Certes, lors de l'audience de jugement, elle a indiqué avoir été frappée à deux reprises au lieu des trois occurrences détaillées durant la procédure préliminaire, à savoir l'épisode de la chaise, celui de la porte et enfin celui du coup de câble USB reçu lors de son intervention pour protéger son fils. Il appert toutefois qu'elle n'en a pas rajouté ni cherché à accabler son mari, ses propos étant demeurés mesurés. En outre, au regard de l'incident de la porte, elle a initialement expliqué qu'elle se trouvait allongée sur le lit lorsque l'appelant avait ouvert brusquement la porte avant d'affirmer s'être trouvée derrière la porte au moment de son ouverture ; dans la mesure toutefois où elle a toujours insisté sur le fait que le lit prenait beaucoup de place et était situé juste derrière la porte de la chambre, le Cour ne peut exclure qu'il ne s'agisse pas en réalité d'une imprécision de langage plutôt que d'une véritable variation dans sa version. En tout état, cette question peut souffrir de demeurer ouverte dans la mesure où les explications de l'appelant n'emportent aucune conviction, comme il sera démontré ci-après. De plus, l'intimée n'a tiré aucun bénéfice secondaire de cette procédure et ne s'est jamais rétractée, bien qu'elle soit par la suite retournée vivre sous le même toit que l'appelant, pour le bien des enfants communs mineurs. En ce qui concerne l'appelant, sa théorie d'un complot d'amies soudanaises de l'intimée ne convainc pas. Non seulement dite théorie ne trouve aucune assise dans le dossier, mais aussi l'on voit mal quel intérêt l'intimée pourrait retirer d'une telle procédure, ce que l'appelant concède par ailleurs, en invoquant une vague " solution à son problème " ou " chercher quelque chose ". Il ressort de sa première audition qu'il a spontanément évoqué l'épisode de la porte pour discréditer son épouse, ce qui démontre à tout le moins qu'il savait qu'elle lui reprocherait un comportement contraire au droit pour cet épisode, dont la survenance n'est pas contestée. Son explication selon laquelle sa femme aurait sciemment attendu derrière la porte pour être blessée n'est pas convaincante en soi, sans compter le fait que celle-ci n'aurait disposé d'aucune preuve matérielle pour appuyer un tel coup monté. L'appelant a servi des explications hasardeuses et peu crédibles pour éluder la question des coups de câble USB, insistant sur le fait qu'il aurait jeté cet objet en raison du danger qu'il présentait, du fait qu'il pouvait prendre feu à tout moment durant la charge des téléphones ou les faire trébucher. Ce faisant, il a derechef tenté de discréditer son épouse en la dépeignant comme une mère irresponsable faisant courir un risque pour leurs enfants. Enfin, pour l'épisode de l'ongle, il a tenu des propos fluctuants et contradictoires, arguant initialement que son épouse laissait volontairement son pied dans la trajectoire des chaises qu'il déplaçait, de sorte qu'il admettait avoir pu la toucher mais en aucun cas la blesser à cette occasion, avant de prétendre dans un second temps se rappeler qu'elle se serait infligée toute seule cette lésion, puis de supposer ne pas avoir vu son pied lors du rangement. En tout état, il faut retenir de ses déclarations qu'il admet tant la survenance d'un accident que l'existence d'une blessure. Au vu de ce qui précède, les dénégations de l'appelant n'emportent pas la conviction de la Cour, laquelle tient pour établie la version de l'intimée. Cela étant précisé, en l'absence de certificat médical et au vu de la description sommaire qui a été faite de l'atteinte à l'intégrité découlant de l'épisode de la chaise (" ongle cassé "), la Cour éprouve un doute quant à la gravité de la lésion, étant précisé que la formulation " ongle retourné " ressort uniquement de la mise en accusation. Partant, ce doute doit profiter à l'appelant et les lésions corporelles simples seront requalifiées en voies de fait. Dans la mesure où l'acte d'accusation ne mentionne aucune date précise pour cet événement et que la période pénale s'étend sur près de trois ans, la Cour doit partir de l'état de fait le plus favorable au prévenu, soit 2018. Par voie de conséquence, l'épisode de la chaise, à l'instar de celui du câble USB, devront être classés pour cause de prescription (art. 319 al. 1 let. d CPP cum art. 109 et 97 al. 3 a contrario CP). En revanche, le verdict de culpabilité du chef de voies de fait sera confirmé en ce qui concerne l'épisode de la porte, situé en janvier 2021. 3.2.2. L'appelant a toujours contesté avoir injurié l'intimée. Ses explications ont toutefois légèrement varié pour ce qui était, selon lui, l'unique occurrence. Cela étant, il a reconnu avoir tenu, sans méchanceté, des propos peu élogieux à l'encontre de son épouse, lui reprochant en substance son ignorance, soit des propos proches de ceux rapportés par celle-ci. Il admet aussi avoir utilisé le terme " animal ", mais explique ne pas l'avoir directement visée. Au vu de l'important contexte conflictuel, il ne fait toutefois aucun doute que l'appelant a proféré ces paroles dans le but de rabaisser son épouse. Partant, le verdict de culpabilité d'injures sera aussi confirmé et l'appel rejeté. 3.2.3. L'appelant nie l'existence de contrainte. Il est toutefois établi que l'intimée, qui n'est jamais allée à l'école et est culturellement déracinée, a vécu essentiellement dans la dépendance et sous le contrôle de son mari, ce que ce dernier reconnaît à demi-mot, dès lors qu'il met cette procédure sur le compte de " mauvaises influences " et regrette que son épouse n'écoute plus ce qu'il dit à la maison. De plus, il a fallu que l'intimée soit rassurée par l'intervention du SPMi et de la police avant de se rendre à l'hôpital avec les enfants, puis qu'elle prenne connaissance de ses droits auprès d'une avocate du réseau avant de déposer plainte pénale. Il ressort de ses déclarations qu'elle craignait essentiellement d'être chassée et séparée de ses enfants en représailles. Or, de telles menaces étaient susceptibles de l'effrayer de sorte qu'elle a, en toute logique, préféré renoncer à se faire examiner par un médecin. La Cour tient donc pour établi que l'appelant s'est rendu coupable de contrainte en interdisant à son épouse de se rendre à l'hôpital, sous peine pour elle de ne plus pouvoir rentrer à la maison, notamment. L'appel sera par conséquent rejeté sur ce point également. Faits à l'encontre de D______ 3.2.4. L'intimée a relaté de manière constante les sévices infligés à son fils par son mari, depuis ses quatre ans, soit depuis 2018. Dès son audition à la police, elle a fait état de coups de câble USB sur la tête de leur enfant, ainsi que d'un coup au ventre, dont elle n'avait pas été témoin mais dont il s'était plaint auprès du médecin. Elle n'en a pas rajouté et n'a pas cherché à accabler l'appelant. Elle n'est pas revenue sur ses propos lorsqu'elle a été séparée de ses enfants, ni après avoir réintégré le domicile conjugal. Elle a de plus toujours indiqué s'être réfugiée chez une amie lors du dernier châtiment administré à son fils et l'avoir conduit le lendemain à l'hôpital. Or, le constat médical établi le 13 février 2021 corrobore ses propos, en ce qu'il relève principalement une multitude de lésions linéaires, anciennes comme récentes, au niveau du visage, du cou et du thorax. Les dénégations de l'appelant n'emportent, quant à elles, pas conviction. En effet, elles ont été inconsistantes et ont évolué en fonction des preuves présentées. L'appelant a tout d'abord affirmé péremptoirement que l'enfant n'avait jamais été blessé, avant d'arguer avoir été informé par l'école de chutes à vélo, puis d'évoquer des glissades sur la boue ou des jeux turbulents avec des camarades. Il a souligné que son fils tombait souvent et partout, sauf à la maison, ce qui est peu crédible. Enfin, il n'a pas hésité à rejeter la faute sur son épouse en indiquant qu'elle se " bagarrerait " avec son fils à raison de deux fois par jour ou trois fois par semaine, voire qu'elle l'aurait blessé pour les besoins de la cause le jour de leur fuite. Non seulement ses propos ne sont pas convaincants, mais ils se heurtent aussi aux éléments matériels. En effet, il ressort de l'attestation de l'externat que seules de petites plaies au niveau des coudes et des genoux avaient été déplorées à l'occasion des chutes à vélo ou en courant, soit des séquelles autrement différentes de celles constatées médicalement. Enfin, le fait qu'il ne soit " rien ressorti de particulier " des auditions EVIG des trois aînés concernant d'éventuelles maltraitances parentales ne permet pas de renverser le faisceau d'indices convergents à charge de l'appelant, ni d'instiller un doute suffisamment important quant à sa culpabilité, étant rappelé que leurs déclarations ont été recueillies dans le cadre d'une nouvelle procédure appréhendant d'autres faits. Au vu de ce qui précède, la condamnation de l'appelant de lésions corporelles simples à l'égard de D______ sera confirmée et l'appel rejeté. 3.2.5. Il n'est pas contesté qu'en sa qualité de père de l'enfant, l'appelant revêtait une position de garant et avait un devoir d'éducation et d'assistance à son égard. Il ressort de la procédure que l'enfant a subi des violences physiques de la part de son père, sur une période pénale relativement longue, corroborées par constat médical (multiples cicatrices anciennes comme récentes) et qu'il a été confronté, à tout le moins à une reprise, à celles infligées à sa mère (épisode du câble USB). Il est en outre établi que l'enfant, bien que fragilisé par son retard mental et le contexte difficile dans lequel il évolue, a connu une belle amélioration de son développement, constatée par le directeur de son externat, étant précisé qu'il est toujours placé à l'heure actuelle en foyer, tandis que les autres membres de la famille ont repris une vie de famille commune. Il ressort enfin des déclarations de sa mère rapportées au médecin, qu'avant son placement, l'enfant dormait mal et restait collé à elle durant la nuit, par peur de son père, alors qu'il était âgé de six ans et demi. Ainsi, il appert que les maltraitances subies pendant à tout le moins trois ans, alors qu'il était de surcroît particulièrement vulnérable en raison de son handicap, ont concrètement mis en danger son bon développement. L'appelant ne pouvait ignorer que ses actes étaient propres à causer une telle atteinte. Partant, le verdict de culpabilité de violation d'un devoir d'assistance ou d'éducation sera confirmé et l'appel rejeté.</w:t>
      </w:r>
    </w:p>
    <w:p>
      <w:r>
        <w:rPr>
          <w:b/>
        </w:rPr>
        <w:t>E. 4</w:t>
      </w:r>
    </w:p>
    <w:p>
      <w:r>
        <w:t>4.1.1. Les lésions corporelles simples (art. 123 CP), la contrainte (art. 181 CP) et la violation du devoir d'assistance ou d'éducation (art. 219 CP) sont toutes passibles d'une peine privative de liberté de trois ans au plus ou d'une peine pécuniaire. Les injures sont réprimées par une peine pécuniaire de 90 jours-amende au plus (art. 177 CP), alors que sont sanctionnées d'une amende les voies de fait (art. 126 CP).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4.1.3.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93 IV 7 ; 116 IV 300 consid. 2c/dd ; arrêt du Tribunal fédéral 6B_1216/2017 du 11 juin 2018 consid. 1.1.1), en tenant là aussi compte de toutes les circonstances y relatives (arrêts du Tribunal fédéral 6B_1175/2017 du 11 avril 2018 consid. 2.1 in medio ; 6B_688/2014 du 22 décembre 2017 consid. 27.2.1). 4.1.4.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l'espèce, la faute du prévenu est importante. Il s'en est pris à l'honneur, à la liberté de sa femme et à son intégrité physique, ainsi qu'à celle de son fils, mettant en péril le bon développement de ce dernier. Il a agi de manière répétée sur une période pénale relativement longue, gratuitement ou sous le coup d'une colère mal maîtrisée, soit des mobiles éminemment égoïstes. Sa prise de conscience, à l'instar de sa collaboration, est nulle, l'appelant persistant à nier les faits, à rejeter la faute sur les plaignants et à se poser en victime d'un complot. Sa situation personnelle n'explique ni ne justifie ses agissements. Il y a concours d'infractions, facteur aggravant de la peine. Son absence d'antécédent a en revanche un effet neutre sur celle-ci. L'infraction abstraitement la plus grave est la violation d'un devoir d'assistance ou d'éducation à l'encontre de D______, laquelle entraine une peine privative de liberté de base de six mois, auxquels s'ajoutent quatre mois pour tenir compte des lésions corporelles simples aggravées commises à réitérées reprises à son détriment (peine hypothétique de huit mois), augmentés d'un mois supplémentaire pour réprimer les deux contraintes (peine hypothétique d'un mois pour chacune des hypothèses), soit un total de 11 mois. La peine pécuniaire de 30 jours-amende à CHF 30.- l'unité sanctionne adéquatement l'injure, de sorte qu'elle sera confirmée. Il en ira de même de l'amende en CHF 300.- réprimant les voies de faits à l'encontre de l'intimée. Le sursis est acquis à l'appelant et le délai d'épreuve de trois ans, adéquat, sera confirmé. En définitive, l'appel sera partiellement admis et le jugement réformé dans le sens de ce qui précède.</w:t>
      </w:r>
    </w:p>
    <w:p>
      <w:r>
        <w:rPr>
          <w:b/>
        </w:rPr>
        <w:t>E. 5</w:t>
      </w:r>
    </w:p>
    <w:p>
      <w:r>
        <w:t>L'appelant, qui succombe en grande partie, supportera 4/5 èmes des frais de la procédure envers l'État (art. 428 CPP), lesquels comprendront un émolument d'arrêt en CHF 1'500.-, le solde étant laissé à la charge de l'État. Il en ira de même de ceux arrêtés par la première instance.</w:t>
      </w:r>
    </w:p>
    <w:p>
      <w:r>
        <w:rPr>
          <w:b/>
        </w:rPr>
        <w:t>E. 6</w:t>
      </w:r>
    </w:p>
    <w:p>
      <w:r>
        <w:t>Dans la mesure où il a provoqué illicitement et fautivement l'ouverture de la présente procédure, l'appelant sera débouté de ses conclusions en indemnisation (art. 429 cum 430 CPP).</w:t>
      </w:r>
    </w:p>
    <w:p>
      <w:r>
        <w:rPr>
          <w:b/>
        </w:rPr>
        <w:t>E. 7</w:t>
      </w:r>
    </w:p>
    <w:p>
      <w:r>
        <w:t>L'appelant n'a pas contesté l'allocation d'un tort moral en CHF 3'000.- à D______, au-delà de l'acquittement plaidé. Celui-ci sera confirmé en ce qu'il a été correctement fixé en application des règles sur l'équité (art. 404 CPP).</w:t>
      </w:r>
    </w:p>
    <w:p>
      <w:r>
        <w:rPr>
          <w:b/>
        </w:rPr>
        <w:t>E. 8</w:t>
      </w:r>
    </w:p>
    <w:p>
      <w:r>
        <w:t>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En l'occurrence, l'activité facturée par M e B______, défenseur d'office de A______, apparait disproportionnée, eu égard à la nature de la cause, au volume du dossier et à sa complexité, sans compter que l'affaire est défendue par ses soins depuis le début. Un volume de travail équivalent à 5h00 d'activité pour la procédure d'appel apparaît ainsi suffisant et justifié en l'espèce. En conclusion, la rémunération sera arrêtée à CHF 1'297.20, correspondant à 5h00 d'activité au tarif de CHF 200.-/heure (CHF 1'000.-), plus la majoration forfaitaire de 20 % (CHF 200.-) et l'équivalent de la TVA au taux de 7.7% en CHF 97.20.</w:t>
      </w:r>
    </w:p>
    <w:p>
      <w:r>
        <w:rPr>
          <w:b/>
        </w:rPr>
        <w:t>E. 8.3</w:t>
      </w:r>
    </w:p>
    <w:p>
      <w:r>
        <w:t>Considéré globalement, l'état de frais produit par M e E______, conseil juridique gratuit de C______, satisfait les exigences légales et jurisprudentielles régissant l'assistance judiciaire gratuite en matière pénale. Partant, sa rémunération sera arrêtée à CHF 891.85, correspondant à 4h35 d'activité au tarif de CHF 150.-/heure (CHF 687.50), plus la majoration forfaitaire de 20 % (CHF 137.50) et l'équivalent de la TVA au taux de 8.1% en CHF 66.85.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