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P/10632/2017 vom 10. Januar 2018</w:t>
      </w:r>
    </w:p>
    <w:p>
      <w:r>
        <w:t>GE Cour de justice, 2018-01-10, FR</w:t>
      </w:r>
    </w:p>
    <w:p>
      <w:r>
        <w:rPr>
          <w:b/>
        </w:rPr>
        <w:t xml:space="preserve">Quelle: </w:t>
      </w:r>
      <w:r>
        <w:t>https://mcp.opencaselaw.ch/entscheid/ge_gerichte_P_10632_2017</w:t>
      </w:r>
    </w:p>
    <w:p>
      <w:r>
        <w:t>FR: GE_GERICHTE P/10632/2017 du 10 janvier 2018</w:t>
      </w:r>
    </w:p>
    <w:p>
      <w:r>
        <w:t>IT: GE_GERICHTE P/10632/2017 del 10 gennaio 2018</w:t>
      </w:r>
    </w:p>
    <w:p>
      <w:pPr>
        <w:pStyle w:val="Heading2"/>
      </w:pPr>
      <w:r>
        <w:t>Regeste</w:t>
      </w:r>
    </w:p>
    <w:p>
      <w:r>
        <w:t>CIRCULATION ROUTIÈRE(DROIT DE LA CIRCULATION ROUTIÈRE) ; AMENDE ; ORDONNANCE PÉNALE ; OPPOSITION(PROCÉDURE) ; CURATELLE ; CONTRAVENTION ; NOUVEAU MOYEN DE PREUVE ; POUVOIR D'EXAMEN ; PROPORTIONNALITÉ | LCR.90; LAO.6; CPP.428</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la question de la culpabilité, le cas échéant en rapport avec chacun des actes (art. 399 al. 4 let. a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statue.</w:t>
      </w:r>
    </w:p>
    <w:p>
      <w:r>
        <w:rPr>
          <w:b/>
        </w:rPr>
        <w:t>E. 1.3</w:t>
      </w:r>
    </w:p>
    <w:p>
      <w:r>
        <w:t>En matière contraventionnelle,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L'art. 90 al. 1 LCR prévoit que celui qui viole les règles de la circulation prévues par la présente loi ou par les dispositions d'exécution émanant du Conseil fédéral est puni de l'amende.</w:t>
      </w:r>
    </w:p>
    <w:p>
      <w:r>
        <w:rPr>
          <w:b/>
        </w:rPr>
        <w:t>E. 2.2</w:t>
      </w:r>
    </w:p>
    <w:p>
      <w:r>
        <w:t>L'article 6 LAO s'applique dans les cas où l'auteur de l'infraction n'a pas pu être identifié par la police, s'agissant principalement des stationnements interdits ou d'une infraction constatée par un appareil automatique. L'autorité commence par envoyer l'amende au détenteur du véhicule (al. 1). Ce dernier a alors trois choix qui s'offrent à lui : payer l'amende, ce qui clôt la procédure (al. 2), ne pas payer et voir une procédure ordinaire engagée contre lui (al. 3) ou indiquer à la police les coordonnées du conducteur (al. 4). Dans ce dernier cas, si la procédure intentée contre ladite personne ne permet pas, sans efforts disproportionnés, de confirmer le soupçon, il appartiendra au final quand même au détenteur de payer l'amende, à moins qu'il ne prouve que son véhicule a été utilisé contre sa volonté et qu'il n'a pas pu l'éviter, bien qu'ayant fait preuve de la diligence nécessaire (al. 5). La conséquence est identique si le détenteur conteste avoir commis l'infraction sans toutefois donner le nom de la personne fautive. Cette contestation ne lui sera d'aucune utilité si l'autorité ne réussit pas à identifier l'auteur, puisqu'il paiera l'amende sur la base de sa qualité de détenteur (H. GIGER, A. KUHN, E. SEIDL, L'imputabilité de l'amende d'ordre au détenteur du véhicule , in Circulation routière, 1/2017, Dike Verlag AG, p. 37). Etant donné qu'il s'agit d'infractions de faible gravité, les actes d'investigation pourraient être régulièrement considérés comme disproportionnés. Ceci d'autant plus que l'un des buts de la procédure relative aux amendes d'ordre est de diminuer les coûts liés à la poursuite pénale (H. GIGER, A. KUHN, E. SEIDL, op.cit ., p. 38).</w:t>
      </w:r>
    </w:p>
    <w:p>
      <w:r>
        <w:rPr>
          <w:b/>
        </w:rPr>
        <w:t>E. 2.3</w:t>
      </w:r>
    </w:p>
    <w:p>
      <w:r>
        <w:t>En l'espèce, il est établi - et au demeurant non contesté - que le véhicule de l'appelant a servi à commettre un excès de vitesse de 9 km/h le 22 novembre 2014 à Genève. Il est également établi que l'amende d'ordre qui lui a été adressée, pour ces faits, le 17 décembre 2014, en sa qualité de détenteur du véhicule impliqué, contenait un formulaire à compléter et à retourner au SDC dans les quinze jours, cas échéant, avec les nom, prénom, adresse et date de naissance du conducteur fautif. Il ressort pourtant de la procédure que l'appelant n'a daigné transmettre à cette autorité, par l'entremise de sa curatrice, que le nom et le prénom de la personne à laquelle il avait prêté son véhicule, qui plus est, presque cinq mois après la réception de l'amende. Il appert en outre, à la lecture de la réplique adressée par l'appelant à la CPAR, que le nom initialement communiqué au SDC et au premier juge était erroné, dès lors que, selon l'appelant, le conducteur fautif n'était pas C______, mais un certain F______, actuellement détenu en France. Bien qu'au moment des faits, l'appelant ait été déclaré incapable de gérer seul ses affaires, ce qui expliquerait qu'il n'ait pas réagi dans le délai qui lui était imparti, sa curatrice a eu connaissance, au plus tard au mois de mai 2015, de l'amende infligée à son pupille et, partant, des obligations découlant du formulaire se trouvant au verso. Or, force est de constater que les informations transmises au SDC par l'appelant, respectivement sa curatrice, ne permettaient pas la localisation du conducteur fautif, sans efforts disproportionnés. Enfin, l'appelant ayant indiqué avoir prêté son véhicule à un copain en novembre et décembre 2014, il ne peut, pour la première fois dans sa réplique et à l'évidence pour les besoins de la cause, alléguer que ledit véhicule aurait été utilisé contre sa volonté ni, a fortiori , qu'il l'aurait appris en 2017 de la CPAR, étant rappelé que l'infraction a été commise en 2014. C'est ainsi avec raison que le premier juge a déclaré l'appelant, en sa qualité de détenteur du véhicule, coupable de la contravention à l'art. 90 al. 1 LCR. Le montant de l'amende et la quotité de la peine privative de liberté de substitution, non contestés en appel, consacrent une application correcte des dispositions de l'art. 106 CP. Au vu de ce qui précède, l'appel doit être rejeté.</w:t>
      </w:r>
    </w:p>
    <w:p>
      <w:r>
        <w:rPr>
          <w:b/>
        </w:rPr>
        <w:t>E. 3</w:t>
      </w:r>
    </w:p>
    <w:p>
      <w:r>
        <w:t>L'appelant,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