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P/10606/2021 vom 7. Januar 2025</w:t>
      </w:r>
    </w:p>
    <w:p>
      <w:r>
        <w:t>GE Cour de justice, 2025-01-07, FR</w:t>
      </w:r>
    </w:p>
    <w:p>
      <w:r>
        <w:rPr>
          <w:b/>
        </w:rPr>
        <w:t xml:space="preserve">Quelle: </w:t>
      </w:r>
      <w:r>
        <w:t>https://mcp.opencaselaw.ch/entscheid/ge_gerichte_P_10606_2021</w:t>
      </w:r>
    </w:p>
    <w:p>
      <w:r>
        <w:t>FR: GE_GERICHTE P/10606/2021 du 7 janvier 2025</w:t>
      </w:r>
    </w:p>
    <w:p>
      <w:r>
        <w:t>IT: GE_GERICHTE P/10606/2021 del 7 gennaio 2025</w:t>
      </w:r>
    </w:p>
    <w:p>
      <w:pPr>
        <w:pStyle w:val="Heading2"/>
      </w:pPr>
      <w:r>
        <w:t>Regeste</w:t>
      </w:r>
    </w:p>
    <w:p>
      <w:r>
        <w:t>DISPOSITIONS PÉNALES DE LA LCR;COURSE DE VOITURES;REPRÉSENTATION DE LA VIOLENCE;FIXATION DE LA PEINE;PEINE PRIVATIVE DE LIBERTÉ;PEINE PÉCUNIAIRE;CONCOURS D'INFRACTIONS;FRAIS(EN GÉNÉRAL);DÉFENSE D'OFFICE | LCR.90.al2; LCR.90.al3; LCR.90.al4; CP.135.al1bis; CP.47; CP.34; CP.40; CP.49; CPP.428; CPP.135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L'appel ne suspend la force de chose jugée du jugement attaqué que dans les limites des points contestés (art. 402 CPP).</w:t>
      </w:r>
    </w:p>
    <w:p>
      <w:r>
        <w:rPr>
          <w:b/>
        </w:rPr>
        <w:t>E. 1.4</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6.1.5.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2.2.1. L'art. 90 LCR constitue la base légale pour réprimer les violations de règles de la circulation. Étant toutefois une disposition générale et abstraite, elle doit être complétée par l'indication de la ou des règles concrètes de circulation qui ont été violées (ATF 100 IV 71 consid. 1). 2.2.2. Selon l'art. 26 al. 1 LCR, chacun doit se comporter, dans la circulation, de manière à ne pas gêner ni mettre en danger ceux qui utilisent la route conformément aux règles établies. D'après l'art. 27 al. 1 LCR, chacun se conformera aux signaux et aux marques, ainsi qu'aux ordres de la police. En vertu de l'art. 32 al. 1 LCR, la vitesse doit toujours être adaptée aux circonstances, notamment aux particularités du véhicule et du chargement, ainsi qu'aux conditions de la route, de la circulation et de la visibilité. Aux termes de l'art. 34 al. 4 LCR, le conducteur observera une distance suffisante envers tous les usagers de la route, notamment pour croiser, dépasser et circuler de front ou lorsque des véhicules se suivent.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Selon l'art. 39 al. 1 LCR, avant de changer de direction, le conducteur manifestera à temps son intention au moyen des indicateurs de direction ou en faisant de la main des signes intelligibles. Cette règle vaut notamment pour obliquer (lit. a). À teneur de l'art. 73 al. 6 let. a de l'ordonnance sur la signalisation routière (OSR), il est interdit aux véhicules de franchir les lignes de sécurité et les doubles lignes de sécurité ou d'empiéter sur elles. 2.2.3. À teneur de l'art. 90 al. 2 LCR,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Une règle de circulation est gravement violée lorsqu'elle apparaît comme une règle fondamentale. Selon le Tribunal fédéral, il n'est pas possible d'établir abstraitement une liste de règles objectivement fondamentales ; il faut procéder à un examen de la règle violée au regard des circonstances objectives de la violation, afin de déterminer le caractère fondamental ou non de la règle considérée ; la violation doit excéder celles que l'on rencontre habituellement. Le fait que la violation d'une règle soit fréquemment à l'origine d'accidents peut faire naître une sorte de présomption, certes réfragable, selon les circonstances, du caractère fondamental de la règle ; tel est les cas, par exemple, des règles relatives à la vitesse (Y. JEANNERET/ A. KUHN/ C. MIZEL/ O. RISKE/ B. RUSCONI/ A. BUSSY, Code suisse de la circulation routière commenté , 5 ème éd., Bâle 2024, n. 4.4 ad 90 LCR). Le franchissement d'une ligne de sécurité constitue en principe également une violation grave des règles de la circulation routière (ATF 136 II 447 consid. 3.3 ; arrêt du Tribunal fédéral 6B_1427/2017 du 25 avril 2018 consid. 2.1.2). 2.2.4.1. L'art. 90 al. 3 LCR définit et réprime les infractions particulièrement graves aux règles de la circulation routière, dites " délit de chauffard ", consacrant une troisième catégorie d'infraction aux règles de la circulation routière sous la forme d'un crime (l'art. 90 al. 1 LCR constituant une contravention et l'art. 90 al. 2 LCR un délit). L'art. 90 al. 3 LCR punit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À teneur de l'art. 90 al. 4 LCR, l'al. 3 est toujours applicable lorsque la vitesse maximale autorisée a été dépassée d'au moins 80 km/h, là où la limite était fixée à plus de 80 km/h (let. d). 2.2.4.2. L'art. 90 al. 3 LCR contient deux conditions objectives, la violation d'une règle fondamentale de la circulation routière et la création d'un grand risque d'accident pouvant entraîner de graves blessures ou la mort. La notion de violation d'une règle fondamentale de la circulation apparaît identique à celle de violation grave d'une règle de circulation au sens de l'art. 90 al. 2 LCR, la jurisprudence retenant qu'il y a violation grave, notamment lorsque l'auteur viole gravement une règle importante, fondamentale ou élémentaire. Toutefois, vu le caractère aggravé de l'art. 90 al. 3 LCR, il y a lieu de retenir une définition plus limitative que celle retenue pour l'art. 90 al. 2 LCR afin de ne retenir que les comportements insensés présentant une gravité sensiblement plus élevée que celle requise par l'art. 90 al. 2 LCR. La loi donne une liste d'exemples de ces règles fondamentales en évoquant les excès de vitesse particulièrement importants, les dépassements téméraires ou la participation à des courses de vitesse illicites (Y. JEANNERET et al. , op. cit. , n. 5.2 ad 90 LCR ATF 142 IV137 consid. 6.1). Un cumul de violations simples des règles de la circulation routière est susceptible de constituer une violation grave " qualifiée ", pour autant qu'elle créé un grand risque d'accident pouvant entraîner de graves blessures ou la mort (ATF 142 IV 137 consid. 8.1 ; arrêts du Tribunal fédéral 6B_34/2017 du 3 novembre 2017 consid. 2.4 et 6B_148/2016 du 29 novembre 2016 consid. 1.3.2). L'art. 90 al. 3 LCR réprime la mise en danger abstraite qualifiée, en ce sens que la probabilité d’un accident avec une issue fatale ou des blessures graves est presque certaine, pour le cas où une ou plusieurs personnes se trouvent à proximité (arrêts du Tribunal fédéral 6B_567/2017 du 22 mai 2018 consid. 3.2.1 ; 6B_148/2016 du 29 novembre 2016 consid. 1.4.2 ; GALLIANO, Le délit de chauffard, Analyse et implications de l'art. 90 al. 3 LCR , Berne 2019, p. 80). 2.2.4.3. Il découle de l'art. 90 al. 4 LCR que lorsque l'excès de vitesse atteint l'un des seuils fixés, la première condition objective de l'art. 90 al. 3 LCR, à savoir la violation d'une règle fondamentale de la circulation routière, est toujours remplie (ATF 143 IV 508 consid. 1.1). L'excès de vitesse qualifié au sens de l'art. 90 al. 4 LCR suffit,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L'art. 90 al. 4 LCR crée ainsi une présomption réfragable de la réalisation de la condition objective du danger qualifié au sens de l'art. 90 al. 3 LCR (ATF 143 IV 508 consid. 1.6). 2.2.4.4. La course de vitesse suppose au minimum l'implication de deux véhicules qui se livrent à une forme de compétition, le but étant que l'un rattrape l'autre, respectivement que ce dernier essaie de ne pas se faire rattraper par le premier (Y. JEANNERET/ A. KUHN/ C. MIZEL/ O. RISKE/ B. RUSCONI/ A. BUSSY, Code suisse de la circulation routière commenté , 5 ème éd., Bâle 2024, n. 5.2 ad 90 LCR). 2.2.4.5. Selon l'art. 106 ch.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Conformément à l'art. 9 al. 2 OCCR,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Sur cette base, l'OFROU a édicté, le 22 mai 2008, une Ordonnance (OOCCR-OFROU), ainsi qu'en accord avec le METAS, des instructions concernant les contrôles de vitesse par la police et la surveillance de la circulation aux feux rouges. Les art. 6 à 9 OOCCR-OFROU précisent notamment les types de mesures (art. 6 et 7), les marges de sécurité (art. 8) ainsi que les exigences relatives à la documentation des vitesses mesurées (art. 9). L'art. 8 al. 1 let. f OOCCR-OFROU prévoit notamment qu'en cas de contrôles de vitesse par tronçon, les valeurs suivantes doivent être déduites de la vitesse mesurée, après que cette dernière a été arrondie au chiffre entier le plus proche : 5 km/h pour une valeur mesurée inférieure ou égale à 100 km/h (ch. 1), 6 km/h pour une valeur mesurée de 101 à 150 km/h (ch. 2) et 7 km/h pour une valeur mesurée à partir de 151 km/h (ch. 3). Les instructions techniques, comme celles concernant les contrôles de vitesse émises le 22 mai 2008 par l'OFROU, constituent de simples recommandations qui n'ont pas force de loi et ne lient pas le juge (ATF 123 II 106 consid. 2e ; 121 IV 64 consid. 3 ; arrêt du Tribunal fédéral 6B_1177/2013 du 12 mai 2014 consid. 3.2).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Les instructions techniques réservent du reste la libre appréciation des preuves par les tribunaux (arrêts du Tribunal fédéral 6B_1177/2013 du 12 mai 2014 consid. 3.2 ; 6B_863/2010 du 17 janvier 2011 consid. 2.2 = SJ 2011 I 265 ; 1C_345/2007 du 24 janvier 2008 consid. 4.1 = JdT 2008 I 449). L'Ordonnance de l’OFROU concernant l’ordonnance sur le contrôle de la circulation routière (OOCCR-OFROU) ne prévoit pas de déduction de marge de sécurité en cas de vitesse calculée sur la base d'images vidéo. 2.2.4.6.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Le dol éventuel suffit (Message du 9 mai 2012 concernant l'initiative populaire " Protection contre les chauffards ", FF 2012 5067 ch. 3.3 ; ATF 142 IV 137 consid. 3.3). Agit intentionnellement quiconque commet un crime ou un délit avec conscience et volonté. L'auteur agit déjà intentionnellement lorsqu'il tient pour possible la réalisation de l'infraction et l'accepte au cas où celle-ci se produirait (art. 12 al. 2 CP). 2.2.4.8. Celui qui commet un excès de vitesse appréhendé par l'art. 90 al. 4 LCR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À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du Tribunal fédéral 6B_533/2023 du 18 octobre 2023 consid. 3.1.2). 2.3.1. En l'espèce, il est établi, notamment par les constatations policières et les images de vidéosurveillance, et non contesté que, le 9 mai 2021, vers 19h20, sur l'autoroute, entre la voie d'accès no 1813 de l'A1aP et la voie de sortie no 1304 de l'A1, au volant du véhicule E______/1______, l'appelant a conduit de manière contraire aux règles de la circulation routière, en omettant, à plusieurs reprises, de respecter les distances suffisantes avec d'autres véhicules, en n'annonçant pas ses changements de voies, en franchissant une ligne de sécurité et en circulant à une vitesse excessive. Au volant de véhicules distincts, D______ et C______ ont également violé des règles importantes de la circulation routière de même type, au même moment. Les protagonistes se sont accordés à dire qu'ils se dirigeaient alors vers le même lieu, où ils étaient attendus pour dîner avec des amis. Tout en reconnaissant ses comportements inadaptés sur la route à la date précitée, l'appelant persiste à contester s'être adonné à un rodéo routier avec D______ et C______, ainsi que le dépassement de vitesse calculé par le GAVA de 85.63 km/h, soutenant qu'une déduction de 7 km/h devrait, à tout le moins, être encore opérée sur ce résultat. En conséquence, un excès de vitesse de l'ordre de 79 km/h devant être retenu, il emportait l'application de l'art. 90 al. 2 LCR et non de l'art. 90 al. 3 et 4 LCR. Or, aucun élément ne permet de sérieusement douter de l'estimation effectuée par le GAVA ou de la méthodologie employée. Au contraire, cette estimation est fondée sur une méthode de calcul précise et rigoureuse, qui tient compte d'une marge de sécurité suffisante, en faveur du conducteur, de l'ordre de 30 km/h, bien supérieure à la déduction préconisée à l'art. 8 OOCCR-OFROU, ainsi que cela ressort du courriel du 22 mars 2023 ( supra , B.c.c). Dans cette mesure, il n'y a pas lieu de procéder à une réduction supplémentaire de la vitesse estimée, étant rappelé que l'OOCCR-OFROU ne prévoit pas de déduction de marge de sécurité en cas de vitesse calculée sur la base d'images vidéo. L'appelant a, du reste, reconnu dans un premier temps la valeur probante de ce rapport, puisqu'il a renoncé à ce qu'une expertise complémentaire soit effectuée. Il sied donc de tenir pour établi que l'appelant a roulé à une vitesse maximale de 185.63 km/h sur un tronçon limité à 100 km/h, en tenant déjà compte des deux marges de sécurité indiquées. En tout état de cause, quand bien même une déduction supplémentaire serait opérée concernant la vitesse, il convient de retenir que l'appelant s'est adonné à un rodéo routier et qu'il a, dans ce cadre, violé d'autres règles fondamentales de la circulation routière, dont le respect des distances suffisantes, l'annonce des changements de voie et le respect d'une ligne de sécurité. L'ensemble de son comportement était ainsi dangereux. En effet, même s'il n'est pas établi que les protagonistes étaient en communication durant le trajet incriminé, il n'en demeure pas moins que leur conduite respective témoignait alors, à tout le moins, d'une volonté commune tacite d'effectuer une course de vitesse. D______, C______ et l'appelant ont du reste exprimé le fait que leur façon de conduire inadaptée avait été dictée par un " effet de groupe ". Devant la CPAR, l'appelant a indiqué qu'en parlant d'" effet de groupe" , il voulait exprimer le fait que l'un de ses amis, soit D______, avait commencé à rouler vite et que, lui-même, ainsi que les autres, avaient voulu le suivre, sans regarder le compteur, ce qui constitue précisément une course de vitesse. Il sied ainsi de retenir que la première condition constitutive objective de l'art. 90 al. 3 LCR, soit la violation d'une règle fondamentale de la circulation routière, est remplie, dès lors que la vitesse de l'appelant a dépassé de plus de 80 km/h la vitesse maximale autorisée, atteignant ainsi l'un des seuils fixés à l'art. 90 al. 4 LCR (let. d). Tel que développé précédemment, outre le fait de circuler à une vitesse excessive, l'appelant a, par ailleurs, omis de respecter les distances suffisantes avec d'autres véhicules, manqué d'annoncer ses changements de voies et franchi une ligne de sécurité, alors qu'il s'agissait là également de règles fondamentales, dont la violation était susceptible d'occasionner un accident. En commettant un important dépassement de vitesse, atteignant l'un des seuils visés à l'art. 90 al. 4 LCR, et en adoptant une conduite particulièrement téméraire, caractérisée par le non-respect des distances de sécurité, le franchissement d'une ligne de sécurité et l'omission d'indiquer les changements de voie, sur une autoroute où la circulation était, par moments, dense, et où il y avait des tunnels et des travaux, l'appelant s'est notamment placé dans une position où il aurait difficilement pu réagir de manière adéquate en cas d'obstacle ou de perte de la maîtrise de son véhicule, ceci quand bien même les conditions du trafic étaient fluides et bonnes. Dans ces conditions, il a manifestement créé un grand risque d'accident pouvant entraîner de graves blessures ou le décès de personnes ; un risque de carambolage aurait en particulier pu survenir. Du reste, la conduite de l'appelant et de ses amis a alerté un agent de police qui circulait sur le même tronçon. Vu le danger abstrait qualifié créé par l'appelant, la seconde condition objective de l'art. 90 al. 3 LCR est aussi réalisée. Aucune circonstance exceptionnelle ne saurait être retenue. Les limitations de vitesse imposées sur le tronçon en question avaient manifestement pour but la sécurité routière, notamment en raison des travaux présents à l'entrée du tunnel de Confignon, et non pas un autre but, par exemple écologique. L'appelant n'a pas commis l'excès de vitesse incriminé pour un motif sérieux, mais par amusement, tel qu'il l'a concédé, voire par désinvolture. Du point de vue subjectif, il sied de retenir qu'en conduisant de la sorte et en atteignant notamment le seuil de l'art. 90 al. 4 LCR, l'appelant avait de toute évidence accepté de violer les règles fondamentales de la circulation routière et, à tout le moins par dol éventuel, de courir un grand risque d'accident pouvant entraîner de graves blessures ou la mort, une telle vitesse impliquant généralement l'impossibilité d'éviter de tels accidents graves en cas d'obstacle sur la chaussée ou de perte de maîtrise du véhicule. De son propre aveu, il connaissait bien le tronçon en question et savait donc quelles limitations de vitesse y étaient applicables, ayant été d'ailleurs en mesure de freiner à proximité des radars. Il a ainsi sciemment conduit au-dessus de la limitation de vitesse autorisée. Il a, au surplus, reconnu la dangerosité de son comportement vis-à-vis des autres usagers de la route. Les conditions subjectives de l'infraction à l'art. 90 al. 3 LCR sont ainsi également réalisées. Aucune circonstance particulière ne permettant d'exclure leur réalisation et il n'y a pas de place pour la négligence. Partant, le verdict de culpabilité rendu à l'encontre de l'appelant du chef de violation fondamentale des règles sur la circulation routière, au sens de l'art. 90 al. 3 et 4 let. d LCR, doit être confirmé. 2.4.1. L'art. 135 aCP (dans sa teneur en vigueur au moment des faits, la nouvelle disposition entrée en vigueur le 1 er juillet 2023 n'apparaissant pas plus favorable, art. 2 al. 2 CP a contrario) réprime le comportement de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(al. 1), ainsi que de celui qui aura acquis, obtenu par voie électronique ou d’une autre manière ou possédé des objets ou des représentations visés à l’al. 1, dans la mesure où ils illustrent des actes de violence contre des êtres humains ou des animaux (al. 1 bis ). Les objets seront confisqués (art. 135 al. 2 CP). 2.4.2. La loi incrimine la représentation d'actes de cruauté envers les êtres humains ou les animaux, par quoi il faut entendre le fait d'infliger, par la violence, des souffrances physiques ou psychiques aiguës, avec une intensité et une brutalité particulières, sans que les moyens employés ni les motivations n'importent. L'élément essentiel se rapporte ici au caractère réaliste et suggestif de la représentation, au fait qu'elle soit de nature à heurter le spectateur, à rester gravée dans sa conscience et au fait qu'elle dénote une froideur affective particulière (M. DUPUIS/ L. MOREILLON/ C. PIGUET/ S. BERGER/ M. MAZOU/ V. RODIGARI [éds], Code pénal - Petit commentaire , 2 e éd., Bâle 2017, n. 7 ad art. 135). Il faut que les objets ou les représentations concernés soient dépourvus de valeur d'ordre culturel ou scientifique digne de protection. La valeur culturelle ou scientifique, et plus encore le caractère digne de protection, ne doivent être déniés que lorsque les objets ou les représentations d'actes de cruauté ne tendent qu'à l'apologie ou à la banalisation de tels actes, ou ne visent qu'à amuser ou divertir (M. DUPUIS et al. , op. cit. , n. 10 et 11 ad art. 135). 2.4.3. L'art. 135 al. 1 bis CP concerne exactement le même type d'objets ou de représentations que l'alinéa premier et incrimine leur simple acquisition ou leur simple possession (M. DUPUIS et al. , op. cit. , n. 15 ad art. 135). La possession entre en ligne de compte lorsqu'une personne détient la maîtrise effective d'une image informatique et la volonté de l'exercer. Il n'est cependant pas nécessaire, pour parler de possession, que les données soient stockées sur le propre support de l'auteur. Ainsi, celui qui a l'usage exclusif du support ou d'une partie du support, à l'exemple du titulaire d'un compte de messagerie électronique sur lequel sont stockées des images illicites appartenant à un tiers, peut également être considéré comme possesseur (M. DUPUIS et al. , op. cit. , n. 17 ad art. 135). La CPAR a notamment retenu une infraction à l'art. 135 al. 1 bis CP à l'égard d'un auteur qui avait reçu de nombreuses vidéos d'une extrême violence (exécutions, immolations, passage à tabac d'un homme sans défense et photographies rapprochées de nombreux cadavres) sur divers groupes WhatsApp, estimant qu'il avait ainsi volontairement gardé la maîtrise sur ces vidéos conservées sur l'application et, partant, qu'il les avait possédées au sens de cette disposition ( AARP/304/2024 du 20 août 2024 consid. 3.4.1). 2.4.4. L'art. 135 CP se conçoit comme une infraction intentionnelle. Le dol éventuel suffit. L'auteur doit avoir conscience, au moins sous la forme d'une appréciation qui serait communément admise par des non-juristes, du caractère gravement attentatoire à la dignité humaine des objets ou des représentations visées et de leur absence de valeur culturelle ou scientifique (M. DUPUIS et al. , op. cit. , n. 19 ad art. 135). 2.4.5. En l'occurrence, il ne fait aucun doute que les vidéos retrouvées dans le téléphone portable de l'appelant remplissent les conditions objectives de l'art. 135 al. 1 CP, montrant des scènes détaillées d'une violence extrême, dont des actes de cruauté envers des êtres humains ne présentant aucune valeur d'ordre culturel ou scientifique digne de protection. Il n'y a manifestement aucun intérêt légitime à représenter des actes d'une telle cruauté. L'appelant ne le conteste pas, mais persiste à soutenir ne pas avoir intentionnellement possédé de telles vidéos dans son téléphone portable et, dès lors, ne pas les avoir visionnées, celles-ci lui ayant été transmises dans un groupe WhatsApp dont il faisait partie sans en connaître tous les membres, notamment pas l'expéditeur desdites vidéos, et dont il ne visualisait pas tous les messages. Les dénégations de l'appelant sur ce point n'emportent toutefois pas conviction. D'une part, il a reçu plusieurs vidéos représentant des actes de violence, de deux sources différentes et sur une période relativement longue, comprise entre novembre 2020 et mars 2021, de sorte qu'il n'est pas crédible qu'il n'ait jamais pris conscience de l'existence de toutes ces vidéos extrêmement violentes dans son téléphone avant l'ouverture de la procédure. D'autre part, le fait que certaines des vidéos incriminées se déroulent dans un contexte routier, alors que l'appelant est passionné de la conduite, apparaît être une troublante coïncidence, de nature à renforcer le fait que l'appelant a pu avoir un intérêt à les détenir. L'appelant n'a, par ailleurs, entrepris aucune démarche pour éviter de recevoir, à réitérées reprises, ce genre d'images. Il aurait notamment pu aisément se désinscrire du groupe WhatsApp par lequel il recevait ce genre de contenu. Il sied ainsi de retenir qu'il a, avec conscience et volonté, gardé la maîtrise sur ces vidéos conservées sur l'application pour sa propre consommation et qu'il les a partant possédées, à tout le moins par dol éventuel. Cela suffit à réaliser l'infraction en question, sans qu'il n'y ait au surplus lieu de déterminer si les images en question étaient également sauvegardées dans sa galerie photos. Par conséquent, le verdict de culpabilité retenu à l'encontre de l'appelant du chef de représentation de la violence doit être confirmé, ceci au sens de l'art. 135 al. 1 bis aCP.</w:t>
      </w:r>
    </w:p>
    <w:p>
      <w:r>
        <w:rPr>
          <w:b/>
        </w:rPr>
        <w:t>E. 3</w:t>
      </w:r>
    </w:p>
    <w:p>
      <w:r>
        <w:t>3.1.1. La violation des règles fondamentales de la circulation routière, au sens de l'art. 90 al. 3 et 4 LCR, est réprimée d'une peine privative de liberté d'un à quatre ans. Le nouvel art. 90 al. 3 ter LCR, entré en vigueur le 1 er octobre 2023 et applicable en tant que lex mitior (art. 2 CP), prévoit toutefois qu'en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La volonté du législateur est ainsi de laisser au juge un plus grand pouvoir d'appréciation selon les circonstances. L'absence d'antécédents judiciaires routiers est érigé en véritable circonstance atténuante. En d'autres termes, la peine menace de l'infraction de base de l'art. 90 al. 3 LCR ne vaut que pour les récidivistes (Message du Conseil fédéral suisse concernant la révision de la loi fédérale sur la circulation routière du 17 novembre 2021, FF 2021 ; arrêt du Tribunal fédéral 6B_1379/2023 du 11 septembre 2024 ; Y. JEANNERET/ A. KUHN/ C. MIZEL/ O. RISKE/ B. RUSCONI/ A. BUSSY, Code suisse de la circulation routière commenté , 5 ème éd., Bâle 2024, n. 5.7 ad art. 90). 3.1.2. La violation grave des règles de la circulation routière, au sens de l'art. 90 al. 2 LCR, est punie d'une peine privative de liberté de trois ans au plus ou d'une peine pécuniaire. 3.1.3. La représentation de la violence au sens de l'art. 135 al. 1 bis aCP est sanctionnée d'une peine privative de liberté d'un an au plus " ou de l'amende" selon la version française. Les versions allemande et italienne de la disposition précitée prévoient toutefois comme sanction non pas une amende, mais bien une peine pécuniaire, de sorte que, s'agissant d'une erreur manifeste de traduction en français, il sera tenu compte de la version allemande.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3.2.2. D'après l'art. 40 CP, la durée minimale de la peine privative de liberté est de trois jours. 3.2.3.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En l'espèce, la faute de l'appelant est grave. Il a, à deux reprises, violé des règles importantes de la circulation routière et créé ainsi un danger pour la sécurité des autres usagers. Il a, par ailleurs, possédé, dans son téléphone portable, cinq vidéos contenant des actes d'une grande violence. Il a agi pour des mobiles égoïstes. Sa responsabilité était pleine et entière. Il y a concours d'infractions. La collaboration de l'appelant à la procédure s'est quelque peu améliorée, dès lors qu'il ne conteste plus les faits du 25 janvier 2021. Il minimise toutefois encore les faits du 9 mai 2021 et cherche à se dédouaner de ceux relevant de la représentation de la violence. Sa prise de conscience est amorcée, mais doit encore évoluer. Rien dans la situation personnelle de l'appelant ne saurait justifier ses actes. Au contraire, il bénéficiait d'un cadre de vie stable et ses projets, à tout le moins professionnels, auraient dû l'amener à adopter un comportement irréprochable. Aucune circonstance atténuante au sens de l'art. 48 CP n'est réalisée. L'appelant n'a pas d'antécédents, ce qui – tel que l'a considéré le premier juge ‒ permet l'application de l'atténuante de l'art. 90 al. 3ter LCR nouvellement entré en vigueur. En effet, quand bien même l'appelant est un jeune conducteur, qui ne détient pas son permis de conduire automobile depuis 10 ans, il conviendrait également de prendre en considération les éventuelles infractions commises notamment au guidon d'un motocycle léger, d'un cycle ou d'une trottinette électrique s'agissant de la période précédant l'obtention de son permis de conduire automobile, ce dont il est, en l'occurrence, exempt. Cela étant, s'agissant des faits du 9 mai 2021, compte tenu de leur nature et du fait que la prise de conscience de l'appelant doit encore évoluer, une peine privative de liberté sera prononcée. Toutefois, concernant sa quotité, il sera tenu compte de la situation particulière de l'appelant, notamment vis-à-vis de ses projets professionnels, et du fait que, s'il n'a pas reconnu toutes les circonstances des faits du 9 mai 2021, il semble désormais en tout cas conscient de la dangerosité de son comportement et déterminé à se tenir à l'écart de la récidive. Aussi, tout bien considéré, eu égard aux effets de la peine sur l'avenir de l'appelant et à son bon comportement depuis les faits, lesquels sont survenus près de quatre ans auparavant, une quotité de peine atténuée de 11 mois apparaît adéquate. En ce qui concerne les faits du 25 janvier 2021, ceux-ci étant constitutifs de violation grave de la LCR et l'appelant les ayant intégralement reconnus, le prononcé d'une peine pécuniaire peut encore entrer en considération. La quotité de base sera arrêtée à 120 jours-amende, aggravée à 150 jours-amende (peine théorique : 180 jours-amende) pour sanctionner également les faits constitutifs de représentation de la violence. Le montant du jour-amende, arrêté à CHF 50.- par le premier juge, apparaît conforme à la situation personnelle de l'appelant, qui ne l'a, au demeurant, pas critiqué en soi. Le bénéfice du sursis complet, tant en ce qui concerne la peine privative de liberté que la peine pécuniaire, de même que le délai d'épreuve fixé à deux ans, est acquis à l'appelant en raison de l'interdiction de la reformatio in pejus (art. 391 al. 2 CPP). Le dispositif entrepris sera ainsi réformé dans la mesure qui précède.</w:t>
      </w:r>
    </w:p>
    <w:p>
      <w:r>
        <w:rPr>
          <w:b/>
        </w:rPr>
        <w:t>E. 4</w:t>
      </w:r>
    </w:p>
    <w:p>
      <w:r>
        <w:t>Pour le reste, la conclusion de l'appelant tendant à la restitution de son téléphone portable formulée lors des débats d'appel est irrecevable, celle-ci n'ayant pas été formellement prise dans sa déclaration d'appel (art. 399 al. 3 let. b et 402 CPP). En tout état de cause, au vu de la confirmation des verdicts de culpabilité retenus à l'encontre de l'appelant pour les faits du 25 janvier 2021, filmés à l'aide de son téléphone portable, ainsi que pour ceux constitutifs de représentation de la violence, concernant des images contenues dans ledit appareil, la décision du premier juge de confisquer et de détruire le téléphone portable de l'appelant n'apparaît pas critiquable (art. 69 CP).</w:t>
      </w:r>
    </w:p>
    <w:p>
      <w:r>
        <w:rPr>
          <w:b/>
        </w:rPr>
        <w:t>E. 5</w:t>
      </w:r>
    </w:p>
    <w:p>
      <w:r>
        <w:t>L'appelant, qui n'obtient que très partiellement gain de cause, supportera ¾ des frais de la procédure envers l'État, comprenant un émolument d'arrêt de CHF 1'200.-. Il n'y a, au surplus, pas lieu de revoir la répartition des frais de première instance (art. 428 CPP et art. 14 al. 1 let. e du Règlement fixant le tarif des frais en matière pénale [RTFMP]).</w:t>
      </w:r>
    </w:p>
    <w:p>
      <w:r>
        <w:rPr>
          <w:b/>
        </w:rPr>
        <w:t>E. 6</w:t>
      </w:r>
    </w:p>
    <w:p>
      <w:r>
        <w:t>6.1.1. Le défenseur d'office est indemnisé conformément à l'art. 16 du règlement sur l'assistance juridique (RAJ) s'agissant d'une affaire soumise à la juridiction cantonale genevoise, le tarif horaire étant, débours de l'étude inclus, de CHF 110.- pour l'avocat stagiaire et de CHF 200.- pour le chef d'étude (art. 135 al. 1 CPP, art. 16 al. 1 RAJ). Seules les heures nécessaires sont retenues (art. 16 al. 2 RAJ). 6.1.2.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 6.1.3. Les séances internes entre le défenseur d'office et son stagiaire, par exemple, ne sont pas indemnisées par l'assistance juridique ( AARP/57/2016 du 9 février 2016 consid. 7.2 et 7.3 ; AARP/307/2014 du 2 juillet 2014).</w:t>
      </w:r>
    </w:p>
    <w:p>
      <w:r>
        <w:rPr>
          <w:b/>
        </w:rPr>
        <w:t>E. 6.2</w:t>
      </w:r>
    </w:p>
    <w:p>
      <w:r>
        <w:t>En l'occurrence, il sied de retrancher de l'état de frais produit par la défenseure d'office de l'appelant, s'agissant de l'activité de la cheffe d'étude, la durée de 2h00 consacrée à l'analyse du jugement motivé rendu par le TP, ainsi que celle de 1h00 dédiée à la rédaction de la déclaration d'appel, de telles prestations étant comprises dans le forfait applicable pour l'activité diverse. Le travail consacré à la préparation des débats d'appel sera pris en considération à hauteur de 10h00, durée appropriée, étant relevé que le dossier était déjà bien connu du conseil pour l'avoir plaidé en première instance, que le temps dédié à l'analyse du jugement est compris dans le forfait applicable pour l'activité diverse et que celui dédié à des recherches juridiques n'a pas à être indemnisé par l'assistance judiciaire. Concernant l'activité de l'avocate-stagiaire, il ne sera tenu compte que de la conférence avec le client d'une heure, effectuée le 5 novembre 2024, sans la cheffe d'étude. L'activité de deux conseils n'était en effet pas nécessaire pour défendre le dossier en appel. Au demeurant, il n'y aurait pas lieu d'indemniser les 20 minutes d'analyse du dossier et d'échanges avec M e B______, 1h30 de travail sur la stratégie et de recherches juridiques, 2h15 de traitement du rapport du GAVA et de recherches juridiques, de telles prestations ne devant pas être couvertes par l'assistance judiciaire. Quant à la durée de 2h30 consacrée au traitement de l'acte d'accusation et du jugement du TP, il s'agit, quoi qu'il en soit, d'une prestation comprise dans le forfait applicable pour l'activité diverse. Compte tenu de ce qui précède, la durée des débats d'appel, à raison de 2h10, de même que le forfait vacation y afférent, seront considérés au seul tarif de la cheffe d'étude. En conclusion, la rémunération allouée à M e B______ sera arrêtée à CHF 3'964.80, correspondant à 15h40 d'activité au tarif horaire de CHF 200.- (CHF 3'133.35) et à 1h00 à celui de CHF 110.- (CHF 110.-), plus la majoration forfaitaire de 10% ‒ l'activité globale déployée excédant 30h00 ‒ (CHF 324.35), un forfait vacation de CHF 100.- et l'équivalent de la TVA au taux de 8.1% (CHF 297.10).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