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P/10589/2013 vom 17. September 2015</w:t>
      </w:r>
    </w:p>
    <w:p>
      <w:r>
        <w:t>GE Cour de justice, 2015-09-17, FR</w:t>
      </w:r>
    </w:p>
    <w:p>
      <w:r>
        <w:rPr>
          <w:b/>
        </w:rPr>
        <w:t xml:space="preserve">Quelle: </w:t>
      </w:r>
      <w:r>
        <w:t>https://mcp.opencaselaw.ch/entscheid/ge_gerichte_P_10589_2013</w:t>
      </w:r>
    </w:p>
    <w:p>
      <w:r>
        <w:t>FR: GE_GERICHTE P/10589/2013 du 17 septembre 2015</w:t>
      </w:r>
    </w:p>
    <w:p>
      <w:r>
        <w:t>IT: GE_GERICHTE P/10589/2013 del 17 settembre 2015</w:t>
      </w:r>
    </w:p>
    <w:p>
      <w:pPr>
        <w:pStyle w:val="Heading2"/>
      </w:pPr>
      <w:r>
        <w:t>Regeste</w:t>
      </w:r>
    </w:p>
    <w:p>
      <w:r>
        <w:t>PRÉSOMPTION D'INNOCENCE; INFRACTIONS CONTRE L'INTÉGRITÉ SEXUELLE; MESURE THÉRAPEUTIQUE INSTITUTIONNELLE; EXPERTISE PSYCHIATRIQUE | CP.123.1; CP.123.2; CP.139.1; CP.172ter.1; CP.189.1; CP.189.3; CP.190.1; CP.190.3; CP.22; CP.47; CP.59; CO.47</w:t>
      </w:r>
    </w:p>
    <w:p>
      <w:pPr>
        <w:pStyle w:val="Heading2"/>
      </w:pPr>
      <w:r>
        <w:t>Erwägungen</w:t>
      </w:r>
    </w:p>
    <w:p>
      <w:r>
        <w:rPr>
          <w:b/>
        </w:rPr>
        <w:t>E. 1.1</w:t>
      </w:r>
    </w:p>
    <w:p>
      <w:r>
        <w:t>Les appels sont recevables pour avoir été interjetés et motivés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p. 87 ss ; 120 Ia 31 consid. 2 p. 33 ss). 2.1.2.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8 ). Il convient, par ailleurs, de rappeler que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Dans le cadre du principe de libre appréciation des preuves, rien ne s'oppose non plus à ne retenir qu'une partie des déclarations d'un témoin globalement crédible (ATF 120 Ia 31 consid. 3, spéc. p. 39). Ainsi que l'a encore relevé récemment le Tribunal fédéral à propos des déclarations des toxicomanes, le juge ne doit pas apprécier la crédibilité de la personne, mais de ses dires (arrêt du Tribunal fédéral 6B_938/2014 du 18 février 2015 consid. 2.3). 2.2.1. L'art. 123 CP, qui réprime les lésions corporelles qui ne peuvent être qualifiées de graves au sens de l'art. 122 CP, protège l'intégrité corporelle et la santé tant physique que psychique. Les lésions corporelles sont une infraction de résultat qui implique une atteinte importante aux biens juridiques ainsi protégés (ATF 134 IV 189 consid. 1.1 p. 191 ; 135 IV 152 consid 2.1.1 p. 154).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107 IV 40 consid. 5c p. 42 ;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2.2.2. A teneur de l'art. 123 ch. 2 CP, les lésions corporelles simples se poursuivent d'office notamment si l'auteur a fait usage d'une arme ou d'un objet dangereux. Le caractère dangereux d'un objet se détermine en fonction de la façon dont il est utilisé (ATF 111 IV 123 consid. 4 p. 122 ; 101 IV 285 p. 286). Un objet sera considéré comme dangereux lorsqu'il est conçu de manière telle qu'utilisé comme arme, il est propre à provoquer les blessures que causerait une arme employée dans les mêmes conditions (ATF 96 IV 16 consid. 3b p. 19). De la façon dont il a été employé, l'objet doit être propre à générer un risque de blessure à tout le moins importante (arrêt du Tribunal fédéral 6B_590/2014 du 12 mars 2015 consid. 1.3). C'est ainsi qu'une chope de bière lancée d'une distance de quatre mètres à la tête d'autrui ou un verre à cocktail ont été considérés comme étant des objets dangereux (ATF 101 IV 285 p. 287 ; arrêt du Tribunal fédéral 6B_590/2014 du 12 mars 2015 consid. 1.3). 2.3.1. L'art. 189 al. 1 CP punit celui qui, notamment en usant de menace ou de violence envers une personne, en exerçant sur elle des pressions d'ordre psychique ou en la mettant hors d'état de résister, l'aura contrainte à subir un acte analogue à l'acte sexuel ou un autre acte d'ordre sexuel. Aux termes de l'art. 190 al. 1 CP, se rend coupable de viol celui qui, notamment en usant de menace ou de violence, en exerçant sur sa victime des pressions d'ordre psychique ou en la mettant hors d'état de résister, aura contraint une personne de sexe féminin à subir l'acte sexuel. Le comportement réprimé par cette disposition consiste dans le fait, pour l'homme, de contraindre volontairement la femme à subir l'acte sexuel proprement dit (B. CORBOZ, Les infractions en droit suisse , volume I, 3 e éd., Berne 2010, n. 7 ad art. 190). Par acte sexuel, il faut entendre l'introduction, même partielle et momentanée, du pénis dans le vagin, l'éjaculation n'étant pas nécessaire (ATF 123 IV 49 consid. 2 p. 52). 2.3.2. Pour qu'il y ait contrainte en matière sexuelle, au sens des art. 189 et 190 CP, il faut que la victime ne soit pas consentante, que l'auteur le sache ou accepte cette éventualité et qu'il passe outre en profitant de la situation ou en employant un moyen efficace à cette fin (ATF 122 IV 97 consid. 2b p. 100), notamment en usant de menace, de pressions d'ordre psychique ou en mettant sa victime hors d'état de résister (ATF 131 IV 167 consid. 3 p. 170). Pour déterminer si l'on se trouve en présence d'une contrainte sexuelle, il faut procéder à une appréciation globale des circonstances concrètes déterminantes. Une appréciation individualisée est nécessaire, laquelle doit reposer sur des éléments suffisamment typiques. La mesure de l'influence qui doit avoir été exercée sur la victime pour qu'il y ait pression d'ordre psychique n'est pas aisément déterminable, de sorte qu'il y a lieu de se montrer prudent dans l'application des dispositions réprimant le viol (cf. ATF 128 IV 97 consid. 2b p. 99). Des adultes en possession de leurs facultés mentales doivent être en mesure d'opposer une résistance plus forte que des enfants (ATF 131 IV 167 consid. 3.1 p. 171). Selon le Tribunal fédéral, il suffit en définitive que, selon les circonstances concrètes, la soumission de la victime soit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Le nouveau droit n'exige plus que la victime soit mise totalement hors d'état de résister (ATF 122 IV 97 consid. 2b). 2.3.3. Sur le plan subjectif, les infractions de contrainte et de viol sont intentionnelles, mais le dol éventuel suffit. L'auteur (un homme en cas de viol) doit savoir que la victime (une femme en cas de viol) n'est pas consentante ou, du moins, en accepter l'éventualité, et il doit vouloir ou, tout au moins, accepter qu'elle soit contrainte par le moyen qu'il met en œuvre ou la situation qu'il exploite (arrêts du Tribunal fédéral 6B_822/2014 du 8 janvier 2015 consid. 3.3 et 6B_287/2011 du</w:t>
      </w:r>
    </w:p>
    <w:p>
      <w:r>
        <w:rPr>
          <w:b/>
        </w:rPr>
        <w:t>E. 3</w:t>
      </w:r>
    </w:p>
    <w:p>
      <w:r>
        <w:t>2. En l'espèce, l'expertise figurant au dossier a été effectuée par deux spécialistes, sur la base de trois entretiens avec l'expertisé, ce qui est usuel, et de ses dossiers médicaux et pénaux. Outre qu'elle s'inscrit dans la continuité des témoignages des personnes qui ont connu l'appelant plus jeune, l'expertise comprend une appréciation clinique détaillée, en sus des résultats des différents tests. Ceux-ci n'ont, ainsi que l'a expliqué l'experte, joué qu'un rôle partiel dans l'évaluation finale, de sorte que leurs failles et faiblesses, reconnues par les experts, ont été neutralisées. L'expertise répond enfin avec précision aux questions posées. Il n'y a partant aucun motif de s'en écarter, tant pour la détermination de la responsabilité de l'appelant que la discussion de la nécessité d'une mesure institutionnelle.</w:t>
      </w:r>
    </w:p>
    <w:p>
      <w:r>
        <w:rPr>
          <w:b/>
        </w:rPr>
        <w:t>E. 3.1</w:t>
      </w:r>
    </w:p>
    <w:p>
      <w:r>
        <w:t>A teneur de l'art. 20 CP, le juge ordonne une expertise s'il existe une raison sérieuse de douter de la responsabilité de l'auteur. Pour ordonner une mesure prévue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Le juge apprécie en principe librement une expertise judiciaire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133 II 384 consid. 4.2.3 p. 391 ; 119 Ib 254 consid. 8a p. 274 ; 118 Ia 144 consid. 1c p. 144 ss ; 107 IV 7 consid. 5 ; 102 IV 225 consid. 7b p. 226/227 ; 101 IV 129 consid. 3a p. 130 et les références citées ; arrêt du Tribunal fédéral 6B_77/2012 du 18 juin 2012 consid. 2.1.3). Le juge peut se fonder sur une expertise figurant au dossier si celle-ci est encore suffisamment actuelle (ATF 134 IV 246 consid. 4.3 p. 254).</w:t>
      </w:r>
    </w:p>
    <w:p>
      <w:r>
        <w:rPr>
          <w:b/>
        </w:rPr>
        <w:t>E. 4</w:t>
      </w:r>
    </w:p>
    <w:p>
      <w:r>
        <w:t>2. Selon l'art. 49 al. 1 CP, si, en raison d'un ou de plusieurs actes, l'auteur a rempli les conditions de plusieurs peines de même genre, le juge le condamne à la peine de l'infraction la plus grave qu'il augmente dans une juste proportion.</w:t>
      </w:r>
    </w:p>
    <w:p>
      <w:r>
        <w:rPr>
          <w:b/>
        </w:rPr>
        <w:t>E. 4.3</w:t>
      </w:r>
    </w:p>
    <w:p>
      <w:r>
        <w:t>Aux termes de l'art. 19 al. 2 CP, le juge atténue la peine si, au moment d'agir, l'auteur ne possédait que partiellement la faculté d'apprécier le caractère illicite de son acte ou de se déterminer d'après cette appréciation. Selon la jurisprudence, une diminution de la responsabilité au sens de cette disposition ne constitue qu'un critère parmi d'autres pour déterminer la faute liée à l'acte, en non pas un facteur qui interfère directement sur la peine ; la réduction de la peine n'est ainsi que la conséquence de la faute plus légère (ATF 136 IV 55 consid. 5.5, 5.6 et 6.1 ; arrêt du Tribunal fédéral 6B_741/2010 du 9 novembre 2010 consid. 3.1.2). Dès lors, le juge doit d'abord décider, sur la base des constatations de fait de l'expertise, dans quelle mesure la responsabilité pénale de l'auteur doit être restreinte sur le plan juridique et comment cette diminution de responsabilité se répercute sur l'appréciation de la faute. La faute globale doit être qualifiée et désignée expressément dans le jugement (art. 50 CP). Ensuite, le juge doit déterminer la peine hypothétique qui correspond à cette faute. La peine ainsi fixée peut enfin être modifiée en raison de facteurs liés à l'auteur ainsi qu'en raison d'une éventuelle tentative selon l'art. 22 al. 1 CP (ATF 136 IV 55 consid. 5.5 p. 59 s. ; arrêts du Tribunal fédéral 6B_284/2012 du 29 octobre 2012 consid. 4.1.6, 6B_77/2012 du 18 juin 2012 consid. 1.2.1 et 6B_741/2010 du</w:t>
      </w:r>
    </w:p>
    <w:p>
      <w:r>
        <w:rPr>
          <w:b/>
        </w:rPr>
        <w:t>E. 9</w:t>
      </w:r>
    </w:p>
    <w:p>
      <w:r>
        <w:t>.2.1. En l'occurrence, considéré dans sa globalité, l'état de frais produit par M e X______, défenseur d'office de l'appelant A______, paraît adéquat et conforme aux principes qui précèdent, de sorte qu'il n'est pas nécessaire de reprendre le détail des postes qui le composent. Il convient d'ajouter aux 23h30 d'activité du chef d'étude 3h30 correspondant au temps de l'audience d'appel. L'indemnisation sera dès lors accordée à hauteur de CHF 6'415.20 (indemnité forfaitaire de 10% vu l'ensemble de l'activité déployée au cours de la procédure [CHF 540.-] et TVA à 8% [CHF 475.20] comprises). 9.2.2. L'activité déployée par M e Y______ pour la procédure d'appel, soit 11h30 d'activité d'un stagiaire en ajustant la durée des débats d'appel (3h30 au lieu de 5h00 estimées), est en adéquation avec la nature, l'importance et la difficulté de la cause. L'indemnisation sera dès lors accordée à hauteur de CHF 888.- (indemnité forfaitaire de 10% vu l'ensemble de l'activité déployée au cours de la procédure [CHF 74.75] et TVA à 8% [CHF 65.75] comprises).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