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P/10588/2023 vom 24. Juni 2024</w:t>
      </w:r>
    </w:p>
    <w:p>
      <w:r>
        <w:t>GE Cour de justice, 2024-06-24, FR</w:t>
      </w:r>
    </w:p>
    <w:p>
      <w:r>
        <w:rPr>
          <w:b/>
        </w:rPr>
        <w:t xml:space="preserve">Quelle: </w:t>
      </w:r>
      <w:r>
        <w:t>https://mcp.opencaselaw.ch/entscheid/ge_gerichte_P_10588_2023</w:t>
      </w:r>
    </w:p>
    <w:p>
      <w:r>
        <w:t>FR: GE_GERICHTE P/10588/2023 du 24 juin 2024</w:t>
      </w:r>
    </w:p>
    <w:p>
      <w:r>
        <w:t>IT: GE_GERICHTE P/10588/2023 del 24 giugno 2024</w:t>
      </w:r>
    </w:p>
    <w:p>
      <w:pPr>
        <w:pStyle w:val="Heading2"/>
      </w:pPr>
      <w:r>
        <w:t>Regeste</w:t>
      </w:r>
    </w:p>
    <w:p>
      <w:r>
        <w:t>ORDONNANCE DE NON-ENTRÉE EN MATIÈRE;VIOLATION DE DOMICILE;CONTRAINTE(DROIT PÉNAL) | CPP.310; CP.186;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w:t>
      </w:r>
    </w:p>
    <w:p>
      <w:r>
        <w:t>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(arrêt du Tribunal fédéral 6B_1297/2017 du 26 juillet 2018 consid. 1.1.1; L. MOREILLON / A. MACALUSO / N. QUELOZ / N. DONGOIS (éds), Commentaire romand, Code pénal I, art. 1-110 CP, 2ème éd., Bâle 2021, n. 8 ad art. 30). En règle générale, celui qui dépose plainte dénonce un état de fait déterminé, alors que la qualification juridique de l'acte appartient aux autorités. Si le plaignant énonce les éléments constitutifs qui, selon lui, sont réalisés, l'autorité n'est pas liée par cette qualification. Cela n'exclut en revanche pas que le plaignant limite sa plainte en n'indiquant que partiellement les faits pour lesquels il requiert une poursuite pénale (arrêt du Tribunal fédéral 6B_1009/2014 du 2 avril 2015 consid. 2.1.1.). Dans certaines circonstances, le fait d’insister sur une qualification juridique particulière plutôt qu’une autre, peut avoir certaines conséquences quant à l’interprétation de la portée de la plainte. Ainsi, on doit partir du principe qu’une plainte pour dénonciation calomnieuse au sens de l'art. 303 CP englobe également une atteinte à l’honneur au sens des art. 173 ss CP. Toutefois, si le plaignant se limite à invoquer expressément l'art. 303 CP, alors que l’autorité de police a attiré son attention sur la nécessité de préciser s’il entendait étendre sa plainte à la diffamation, l’autorité doit interpréter son silence comme exprimant sa volonté de limiter sa plainte à la dénonciation calomnieuse (ATF 115 IV 1 consid. 1; L. MOREILLON / A. MACALUSO / N. QUELOZ / N. DONGOIS (éds), op. cit., n. 10 ad art. 30). Le lésé peut également dénoncer des actes, sans formellement porter plainte, avec pour conséquence que seuls les actes poursuivis d'office feront l'objet de l'enquête pénale et d'une éventuelle condamnation (ATF 85 IV 73 consid. 2 JdT 1960 IV 2; 68 IV 68 JdT 1942 I 644; L. MOREILLON / A. MACALUSO / N. QUELOZ / N. DONGOIS (éds), op. cit ., n. 9 ad art. 30). En revanche, il n'appartient pas aux autorités pénales de rechercher si des éléments évoqués par un recourant ou des pièces fournies en annexe à sa plainte peuvent fonder des poursuites concernant des agissements qui n'ont pas été expressément dénoncés (arrêt du Tribunal fédéral 6B_1340/2018 du 15 février 2019 consid. 2.5).</w:t>
      </w:r>
    </w:p>
    <w:p>
      <w:r>
        <w:rPr>
          <w:b/>
        </w:rPr>
        <w:t>E. 4</w:t>
      </w:r>
    </w:p>
    <w:p>
      <w:r>
        <w:t>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4.1</w:t>
      </w:r>
    </w:p>
    <w:p>
      <w:r>
        <w:t>La violation de domicile peut revêtir deux formes: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par exemple par une clôture, un mur ou une haie, qui n'a pas besoin d'être infranchissable pourvu qu'on puisse comprendre qu'il ne faut pas pénétrer dans l'espace considéré (arrêt du Tribunal fédéral 6B_1056/2013 du 20 août 2014 consid. 2.1).</w:t>
      </w:r>
    </w:p>
    <w:p>
      <w:r>
        <w:rPr>
          <w:b/>
        </w:rPr>
        <w:t>E. 4.2</w:t>
      </w:r>
    </w:p>
    <w:p>
      <w:r>
        <w:t>Dans le cadre d’un bail à loyer ou à ferme, c’est le locataire, respectivement le fermier, qui possède la qualité d’ayant droit, à l’exclusion du propriétaire des lieux (ATF 118 IV 167 consid. 1c, fr. ; 112 IV 31 , consid. 3, JdT 1986 IV 78 ; 87 IV 120 consid. 1 JdT 1962 IV 19 ; et 83 IV 154 consid. 1, JdT 1958 IV 12). Est également ayant droit le sous-locataire (ATF 112 IV 31 consid. 3 JdT 1986 IV 78). Il faut considérer que le locataire qui persiste à occuper les lieux en dépit d’une résiliation valable ne contrevient pas à l’article 186 CP et reste même l’unique titulaire du droit au domicile ; ce dernier prend en effet naissance avec l’occupation et cesse avec le départ de l’occupant. Le droit au domicile ne passe donc pas automatiquement du locataire au propriétaire à l’extinction du contrat (ATF 112 IV 31 , c. 3b, JdT 1986 IV 78 ; M. DUPUIS / L. MOREILLON / C. PIGUET / S. BERGER / M. MAZOU / V. RODIGARI (éds), Code pénal - Petit commentaire, 2e éd., Bâle 2017, n. 21 ad art. 186).</w:t>
      </w:r>
    </w:p>
    <w:p>
      <w:r>
        <w:rPr>
          <w:b/>
        </w:rPr>
        <w:t>E. 4.3</w:t>
      </w:r>
    </w:p>
    <w:p>
      <w:r>
        <w:t>L'auteur pénètre dans le domicile dès qu'il s'introduit dans l'espace protégé contre la volonté de l'ayant droit (A. MACALUSO / L. MOREILLON / N. QUELOZ (éds), Commentaire romand, Code pénal II, vol. II, Partie spéciale : art. 111-392 CP , Bâle 2017, n. 31 ad art. 186).</w:t>
      </w:r>
    </w:p>
    <w:p>
      <w:r>
        <w:rPr>
          <w:b/>
        </w:rPr>
        <w:t>E. 4.4</w:t>
      </w:r>
    </w:p>
    <w:p>
      <w:r>
        <w:t>La violation de domicile n'est punissable que si elle est commise intentionnellement. L'intention comprend la conscience du fait que l'on pénètre contre la volonté de l'ayant droit (ATF 90 IV 74 consid. 3). Le dol éventuel suffit (ATF 108 IV 33 consid. 5c) JdT 1983 IV 74 et A. MACALUSO / L. MOREILLON / N. QUELOZ (éds), op. cit., n. 44 ad art. 186).</w:t>
      </w:r>
    </w:p>
    <w:p>
      <w:r>
        <w:rPr>
          <w:b/>
        </w:rPr>
        <w:t>E. 4.5</w:t>
      </w:r>
    </w:p>
    <w:p>
      <w:r>
        <w:t>Il y a dol éventuel lorsque l'auteur, qui ne veut pas le résultat dommageable pour lui-même, envisage le résultat de son acte comme possible et l'accepte au cas où il se produirait, mais également lorsque le résultat dommageable s'impose à l'auteur de manière si vraisemblable que son comportement ne peut raisonnablement être interprété que comme l'acceptation de ce résultat (ATF 137 IV 1 consid. 4.2.3; 133 IV 9 consid. 4.1; 131 IV 1 consid. 2.2; arrêt du Tribunal fédéral 6B_718/2017 du 17 janvier 2018 consid. 2.1).</w:t>
      </w:r>
    </w:p>
    <w:p>
      <w:r>
        <w:rPr>
          <w:b/>
        </w:rPr>
        <w:t>E. 5</w:t>
      </w:r>
    </w:p>
    <w:p>
      <w:r>
        <w:t>L'art. 181 CP vise, du chef de contrainte, quiconque, en usant de violence envers une personne ou en la menaçant d'un dommage sérieux, ou en l'entravant de quelque autre manière dans sa liberté d'action, l'oblige à faire, à ne pas faire ou à laisser faire un acte.</w:t>
      </w:r>
    </w:p>
    <w:p>
      <w:r>
        <w:rPr>
          <w:b/>
        </w:rPr>
        <w:t>E. 5.1</w:t>
      </w:r>
    </w:p>
    <w:p>
      <w:r>
        <w:t>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134 IV 216 consid. 4.1).</w:t>
      </w:r>
    </w:p>
    <w:p>
      <w:r>
        <w:rPr>
          <w:b/>
        </w:rPr>
        <w:t>E. 5.2</w:t>
      </w:r>
    </w:p>
    <w:p>
      <w:r>
        <w:t>La contrainte n'est contraire au droit que si elle est illicite. Tel est notamment le cas lorsqu'un moyen conforme au droit, utilisé pour atteindre un but légitime, constitue, au vu des circonstances, un moyen de pression abusif ou contraire aux moeurs (ATF 134 IV 216 consid. 4.1).</w:t>
      </w:r>
    </w:p>
    <w:p>
      <w:r>
        <w:rPr>
          <w:b/>
        </w:rPr>
        <w:t>E. 5.3</w:t>
      </w:r>
    </w:p>
    <w:p>
      <w:r>
        <w:t>Sur le plan subjectif, il faut que l'auteur ait agi avec conscience et volonté, soit au moins qu'il ait accepté l'éventualité que le procédé illicite employé entrave le destinataire dans sa liberté de décision (ATF 120 IV 17 consid. 2c). Le dol éventuel suffit (art. 12 al. 2 CP; arrêt du Tribunal fédéral 6B_406/2020 du 20 août 2020 consid. 2.1).</w:t>
      </w:r>
    </w:p>
    <w:p>
      <w:r>
        <w:rPr>
          <w:b/>
        </w:rPr>
        <w:t>E. 5.4</w:t>
      </w:r>
    </w:p>
    <w:p>
      <w:r>
        <w:t>Le fait, pour un bailleur, de changer les serrures d'un appartement pour empêcher le locataire d'y pénétrer, mettant de la sorte, de facto , une fin prématurée au contrat de bail, est constitutif de contrainte au sens de cette disposition (arrêt du Tribunal fédéral 6B_334/2023 du 16 août 2023 consid. 3.3). Cela vaut y compris lorsque le bail a été résilié, mais qu'une procédure en contestation du congé est pendante (arrêts du Tribunal fédéral 4A_499/2013 du 4 février 2014 consid. 3.3.3 et 6B_8/2010 du 29 mars 2010 consid. 2.2.2).</w:t>
      </w:r>
    </w:p>
    <w:p>
      <w:r>
        <w:rPr>
          <w:b/>
        </w:rPr>
        <w:t>E. 6</w:t>
      </w:r>
    </w:p>
    <w:p>
      <w:r>
        <w:t>En l'espèce, dans ses observations, le Ministère public soutient que le recourant n'a aucunement décrit des faits pouvant être constitutifs de violation de domicile et/ou de contrainte. Or, tel ne semble pas être le cas. En effet, dans sa plainte, le recourant a exposé que son bailleur avait changé, à son insu, la serrure du local qu'il sous-louait, l'empêchant ainsi d'y accéder et d'exercer son activité professionnelle, ce qui pourrait être qualifié de contrainte, laquelle est poursuivie d'office. Par ailleurs, il a expliqué que, lorsqu'il a repris possession dudit local, il y avait " des traces sur le sol " et qu'une étagère avait " bougé ", ce qui pourrait démontrer que quelqu'un aurait pénétré sans son accord dans son local. Dans ces circonstances, on ne saurait reprocher au recourant – qui agissait en personne – de ne pas avoir qualifié juridiquement ces faits, cette tâche revenant à l'autorité de poursuite. Sur le fond, les parties s'accordent sur le fait que le recourant sous-louait une partie d'un local et qu'un désaccord était survenu s'agissant du loyer dû et de la continuation du bail. Dans ce contexte, la serrure du local a été d'abord endommagée – ce qui l'a rendue inutilisable –, puis, changée, sans qu'un jeu de clé n'ait été remis au recourant. C'est finalement grâce à la décision du Tribunal civil que l'intéressé a pu – sept jours plus tard – avoir, à nouveau, accès à son local. À titre liminaire, il semble douteux que ledit local – dont l'accès restait possible par l'arrière-boutique de l'arcade principale – puisse être considéré comme protégé par l'art. 186 CP, faute d'espace véritablement clos. Le rideau qui les séparait ne pouvait être assimilé à une clôture ou un mur, au sens de la jurisprudence susmentionnée. Cela étant, la question peut rester ouverte au vu de ce qui suit. Le recourant reproche à B______ et C______ d'avoir pénétré dans son local – alors que lui-même n'y avait plus accès –. Or, les mis en cause le contestent et aucun élément au dossier ne permet de corroborer un tel comportement. La photographie des traces de chaussures sur le sol, sans autre distinction, ne permet pas de confirmer que les intéressés en seraient à l'origine. En ce qui concerne la serrure, les éléments au dossier, en particulier l'écriteau apposé sur la porte, montrent que les intéressés n'avaient visiblement pas, même sous l'angle du dol éventuel, l'intention d'entrer dans le local, mais plutôt d'empêcher le recourant d'y accéder et de continuer son commerce, comme détaillé infra . Partant, l'infraction de violation de domicile n'apparaît manifestement pas réalisée. En revanche, le recourant doit être suivi lorsqu'il considère que le changement de serrure effectué à son insu – sans remise de la nouvelle clé – pourrait être constitutif de contrainte, dès lors qu'il a été empêché d'accéder au local qu'il sous-louait. Il a ainsi été entravé dans sa liberté d'action jusqu'au prononcé de l'ordonnance du Tribunal civil. Cette restriction, consistant en l'absence totale d'accès, ne peut être considérée comme légère. En outre, au vu des éléments du dossier, en particulier des déclarations de B______ – selon lesquelles sa femme aurait " repris les choses en mains " et remplacé la serrure –, et l'écriteau apposé sur la porte, la conditions subjective n'apparaît pas d'emblée devoir être écartée. Partant, on ne peut retenir, en l'état, comme le fait le Ministère public, que les éléments constitutifs d'une contrainte, au sens de l'art. 181 CP, ne seraient pas réalisés. Dans ces circonstances, il appartiendra au Ministère public d'instruire si le mis en cause, B______, est à l'origine du changement de serrure ou s'il s'agit de son épouse, comme il le prétend. Puis, le cas échéant, d'éclaircir les faits quant à une éventuelle contrainte au préjudice du recourant.</w:t>
      </w:r>
    </w:p>
    <w:p>
      <w:r>
        <w:rPr>
          <w:b/>
        </w:rPr>
        <w:t>E. 7</w:t>
      </w:r>
    </w:p>
    <w:p>
      <w:r>
        <w:t>Partiellement fondé, le recours doit être admis. L'ordonnance querellée sera donc annulée et la cause renvoyée au Ministère public dans le sens des considérants.</w:t>
      </w:r>
    </w:p>
    <w:p>
      <w:r>
        <w:rPr>
          <w:b/>
        </w:rPr>
        <w:t>E. 8</w:t>
      </w:r>
    </w:p>
    <w:p>
      <w:r>
        <w:t>L'admission du recours ne donne pas lieu à la perception de frais (art. 428 al. 1 CPP). Les sûretés versées par le recourant (CHF 1'000.-) lui seront ainsi restituées.</w:t>
      </w:r>
    </w:p>
    <w:p>
      <w:r>
        <w:rPr>
          <w:b/>
        </w:rPr>
        <w:t>E. 9</w:t>
      </w:r>
    </w:p>
    <w:p>
      <w:r>
        <w:t>Le recourant, partie plaignante qui obtient gain de cause, n'a pas conclu à l'octroi de dépens ni ne les a – a fortiori – chiffrés, de sorte qu'il ne lui en sera pas alloué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